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14" w:rsidRPr="00513B47" w:rsidRDefault="00E70C14" w:rsidP="00E70C14">
      <w:pPr>
        <w:suppressAutoHyphens w:val="0"/>
        <w:spacing w:after="120"/>
        <w:ind w:right="-99"/>
        <w:contextualSpacing/>
        <w:rPr>
          <w:rFonts w:ascii="Tahoma" w:hAnsi="Tahoma" w:cs="Tahoma"/>
          <w:b/>
          <w:bCs/>
          <w:sz w:val="20"/>
          <w:szCs w:val="20"/>
          <w:lang w:eastAsia="el-GR"/>
        </w:rPr>
      </w:pPr>
      <w:r w:rsidRPr="001B2B14">
        <w:rPr>
          <w:rFonts w:ascii="Tahoma" w:hAnsi="Tahoma" w:cs="Tahoma"/>
          <w:b/>
          <w:bCs/>
          <w:sz w:val="20"/>
          <w:szCs w:val="20"/>
          <w:lang w:eastAsia="el-GR"/>
        </w:rPr>
        <w:t xml:space="preserve">ΠΑΡΑΡΤΗΜΑ </w:t>
      </w:r>
      <w:r w:rsidRPr="001B2B14">
        <w:rPr>
          <w:rFonts w:ascii="Tahoma" w:hAnsi="Tahoma" w:cs="Tahoma"/>
          <w:b/>
          <w:bCs/>
          <w:sz w:val="20"/>
          <w:szCs w:val="20"/>
          <w:lang w:val="en-US" w:eastAsia="el-GR"/>
        </w:rPr>
        <w:t>IV</w:t>
      </w:r>
    </w:p>
    <w:p w:rsidR="00E70C14" w:rsidRPr="00513B47" w:rsidRDefault="00E70C14" w:rsidP="00E70C14">
      <w:pPr>
        <w:suppressAutoHyphens w:val="0"/>
        <w:spacing w:after="120"/>
        <w:ind w:right="-99"/>
        <w:contextualSpacing/>
        <w:rPr>
          <w:rFonts w:ascii="Tahoma" w:hAnsi="Tahoma" w:cs="Tahoma"/>
          <w:b/>
          <w:bCs/>
          <w:sz w:val="20"/>
          <w:szCs w:val="20"/>
          <w:lang w:eastAsia="el-GR"/>
        </w:rPr>
      </w:pPr>
    </w:p>
    <w:p w:rsidR="00E70C14" w:rsidRPr="001B2B14" w:rsidRDefault="00E70C14" w:rsidP="00E70C14">
      <w:pPr>
        <w:suppressAutoHyphens w:val="0"/>
        <w:jc w:val="center"/>
        <w:rPr>
          <w:rFonts w:ascii="Tahoma" w:hAnsi="Tahoma" w:cs="Tahoma"/>
          <w:sz w:val="20"/>
          <w:szCs w:val="20"/>
          <w:lang w:eastAsia="zh-CN"/>
        </w:rPr>
      </w:pPr>
      <w:r w:rsidRPr="001B2B14">
        <w:rPr>
          <w:rFonts w:ascii="Tahoma" w:hAnsi="Tahoma" w:cs="Tahoma"/>
          <w:b/>
          <w:sz w:val="20"/>
          <w:szCs w:val="20"/>
          <w:lang w:eastAsia="el-GR"/>
        </w:rPr>
        <w:t>ΦΥΛΛΑ ΣΥΜΜΟΡΦΩΣΗΣ</w:t>
      </w:r>
      <w:r w:rsidRPr="001B2B14">
        <w:rPr>
          <w:rFonts w:ascii="Tahoma" w:hAnsi="Tahoma" w:cs="Tahoma"/>
          <w:sz w:val="20"/>
          <w:szCs w:val="20"/>
          <w:lang w:eastAsia="zh-CN"/>
        </w:rPr>
        <w:t xml:space="preserve"> </w:t>
      </w:r>
    </w:p>
    <w:p w:rsidR="00E70C14" w:rsidRPr="001B2B14" w:rsidRDefault="00E70C14" w:rsidP="00E70C14">
      <w:pPr>
        <w:suppressAutoHyphens w:val="0"/>
        <w:jc w:val="center"/>
        <w:rPr>
          <w:rFonts w:ascii="Tahoma" w:hAnsi="Tahoma" w:cs="Tahoma"/>
          <w:b/>
          <w:sz w:val="20"/>
          <w:szCs w:val="20"/>
          <w:lang w:eastAsia="el-GR"/>
        </w:rPr>
      </w:pPr>
      <w:r w:rsidRPr="001B2B14">
        <w:rPr>
          <w:rFonts w:ascii="Tahoma" w:hAnsi="Tahoma" w:cs="Tahoma"/>
          <w:b/>
          <w:sz w:val="20"/>
          <w:szCs w:val="20"/>
          <w:lang w:eastAsia="el-GR"/>
        </w:rPr>
        <w:t>του……………………………………………..………….</w:t>
      </w:r>
    </w:p>
    <w:p w:rsidR="00E70C14" w:rsidRPr="001B2B14" w:rsidRDefault="00E70C14" w:rsidP="00E70C14">
      <w:pPr>
        <w:suppressAutoHyphens w:val="0"/>
        <w:jc w:val="center"/>
        <w:rPr>
          <w:rFonts w:ascii="Tahoma" w:hAnsi="Tahoma" w:cs="Tahoma"/>
          <w:b/>
          <w:sz w:val="20"/>
          <w:szCs w:val="20"/>
          <w:lang w:eastAsia="el-GR"/>
        </w:rPr>
      </w:pPr>
      <w:r w:rsidRPr="001B2B14">
        <w:rPr>
          <w:rFonts w:ascii="Tahoma" w:hAnsi="Tahoma" w:cs="Tahoma"/>
          <w:b/>
          <w:sz w:val="20"/>
          <w:szCs w:val="20"/>
          <w:lang w:eastAsia="el-GR"/>
        </w:rPr>
        <w:t>(</w:t>
      </w:r>
      <w:r w:rsidRPr="001B2B14">
        <w:rPr>
          <w:rFonts w:ascii="Tahoma" w:hAnsi="Tahoma" w:cs="Tahoma"/>
          <w:b/>
          <w:i/>
          <w:sz w:val="20"/>
          <w:szCs w:val="20"/>
          <w:lang w:eastAsia="el-GR"/>
        </w:rPr>
        <w:t>επωνυμία οικονομικού φορέα</w:t>
      </w:r>
      <w:r w:rsidRPr="001B2B14">
        <w:rPr>
          <w:rFonts w:ascii="Tahoma" w:hAnsi="Tahoma" w:cs="Tahoma"/>
          <w:b/>
          <w:sz w:val="20"/>
          <w:szCs w:val="20"/>
          <w:lang w:eastAsia="el-GR"/>
        </w:rPr>
        <w:t>)</w:t>
      </w:r>
    </w:p>
    <w:p w:rsidR="00E70C14" w:rsidRPr="001B2B14" w:rsidRDefault="00E70C14" w:rsidP="00E70C14">
      <w:pPr>
        <w:suppressAutoHyphens w:val="0"/>
        <w:jc w:val="center"/>
        <w:rPr>
          <w:rFonts w:ascii="Tahoma" w:hAnsi="Tahoma" w:cs="Tahoma"/>
          <w:b/>
          <w:sz w:val="20"/>
          <w:szCs w:val="20"/>
          <w:lang w:eastAsia="el-GR"/>
        </w:rPr>
      </w:pPr>
    </w:p>
    <w:p w:rsidR="00E70C14" w:rsidRPr="001B2B14" w:rsidRDefault="00E70C14" w:rsidP="00E70C14">
      <w:pPr>
        <w:suppressAutoHyphens w:val="0"/>
        <w:jc w:val="center"/>
        <w:rPr>
          <w:rFonts w:ascii="Tahoma" w:hAnsi="Tahoma" w:cs="Tahoma"/>
          <w:b/>
          <w:sz w:val="20"/>
          <w:szCs w:val="20"/>
          <w:lang w:eastAsia="el-GR"/>
        </w:rPr>
      </w:pPr>
    </w:p>
    <w:p w:rsidR="00E70C14" w:rsidRPr="001B2B14" w:rsidRDefault="00E70C14" w:rsidP="00E70C14">
      <w:pPr>
        <w:suppressAutoHyphens w:val="0"/>
        <w:jc w:val="center"/>
        <w:rPr>
          <w:rFonts w:ascii="Tahoma" w:hAnsi="Tahoma" w:cs="Tahoma"/>
          <w:b/>
          <w:sz w:val="20"/>
          <w:szCs w:val="20"/>
          <w:lang w:eastAsia="el-GR"/>
        </w:rPr>
      </w:pPr>
      <w:r w:rsidRPr="001B2B14">
        <w:rPr>
          <w:rFonts w:ascii="Tahoma" w:hAnsi="Tahoma" w:cs="Tahoma"/>
          <w:b/>
          <w:sz w:val="20"/>
          <w:szCs w:val="20"/>
          <w:lang w:eastAsia="el-GR"/>
        </w:rPr>
        <w:t xml:space="preserve">ΓΙΑ TΗΝ ΑΡΙΘΜ. ΠΡΩΤ.  …………………………………………..…  </w:t>
      </w:r>
    </w:p>
    <w:p w:rsidR="00E70C14" w:rsidRPr="001B2B14" w:rsidRDefault="00E70C14" w:rsidP="00E70C14">
      <w:pPr>
        <w:suppressAutoHyphens w:val="0"/>
        <w:jc w:val="center"/>
        <w:rPr>
          <w:rFonts w:ascii="Tahoma" w:hAnsi="Tahoma" w:cs="Tahoma"/>
          <w:b/>
          <w:sz w:val="20"/>
          <w:szCs w:val="20"/>
          <w:lang w:eastAsia="el-GR"/>
        </w:rPr>
      </w:pPr>
      <w:r w:rsidRPr="001B2B14">
        <w:rPr>
          <w:rFonts w:ascii="Tahoma" w:hAnsi="Tahoma" w:cs="Tahoma"/>
          <w:b/>
          <w:bCs/>
          <w:sz w:val="20"/>
          <w:szCs w:val="20"/>
          <w:lang w:eastAsia="el-GR"/>
        </w:rPr>
        <w:t>ΠΡΟΣΚΛΗΣΗ ΕΚΔΗΛΩΣΗ ΕΝΔΙΑΦΕΡΟΝΤΟΣ ΤΟΥ ΠΑΝΕΠΙΣΤΗΜΙΟΥ ΘΕΣΣΑΛΙΑΣ</w:t>
      </w:r>
    </w:p>
    <w:tbl>
      <w:tblPr>
        <w:tblStyle w:val="4"/>
        <w:tblW w:w="10585" w:type="dxa"/>
        <w:jc w:val="center"/>
        <w:tblLook w:val="04A0" w:firstRow="1" w:lastRow="0" w:firstColumn="1" w:lastColumn="0" w:noHBand="0" w:noVBand="1"/>
      </w:tblPr>
      <w:tblGrid>
        <w:gridCol w:w="967"/>
        <w:gridCol w:w="5414"/>
        <w:gridCol w:w="1290"/>
        <w:gridCol w:w="1348"/>
        <w:gridCol w:w="1566"/>
      </w:tblGrid>
      <w:tr w:rsidR="00E70C14" w:rsidRPr="001B2B14" w:rsidTr="0049251F">
        <w:trPr>
          <w:trHeight w:val="567"/>
          <w:jc w:val="center"/>
        </w:trPr>
        <w:tc>
          <w:tcPr>
            <w:tcW w:w="10585" w:type="dxa"/>
            <w:gridSpan w:val="5"/>
            <w:shd w:val="clear" w:color="auto" w:fill="BDD6EE"/>
            <w:vAlign w:val="center"/>
          </w:tcPr>
          <w:p w:rsidR="00E70C14" w:rsidRPr="001B2B14" w:rsidRDefault="00E70C14" w:rsidP="0049251F">
            <w:pPr>
              <w:suppressAutoHyphens w:val="0"/>
              <w:rPr>
                <w:rFonts w:ascii="Tahoma" w:hAnsi="Tahoma" w:cs="Tahoma"/>
                <w:b/>
                <w:sz w:val="20"/>
                <w:szCs w:val="20"/>
                <w:lang w:eastAsia="el-GR"/>
              </w:rPr>
            </w:pPr>
            <w:r w:rsidRPr="001B2B14">
              <w:rPr>
                <w:rFonts w:ascii="Tahoma" w:hAnsi="Tahoma" w:cs="Tahoma"/>
                <w:b/>
                <w:sz w:val="20"/>
                <w:szCs w:val="20"/>
                <w:lang w:eastAsia="el-GR"/>
              </w:rPr>
              <w:t>ΕΙΔΟΣ 1 - ΠΡΟΒΟΛΙΚΟ</w:t>
            </w:r>
          </w:p>
        </w:tc>
      </w:tr>
      <w:tr w:rsidR="00E70C14" w:rsidRPr="001B2B14" w:rsidTr="0049251F">
        <w:trPr>
          <w:trHeight w:val="567"/>
          <w:jc w:val="center"/>
        </w:trPr>
        <w:tc>
          <w:tcPr>
            <w:tcW w:w="992"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A/A</w:t>
            </w:r>
          </w:p>
        </w:tc>
        <w:tc>
          <w:tcPr>
            <w:tcW w:w="5670"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ΠΡΟΔΙΑΓΡΑΦΗ</w:t>
            </w:r>
          </w:p>
        </w:tc>
        <w:tc>
          <w:tcPr>
            <w:tcW w:w="1170"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ΑΠΑΙΤΗΣΗ</w:t>
            </w:r>
          </w:p>
        </w:tc>
        <w:tc>
          <w:tcPr>
            <w:tcW w:w="1257"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ΑΠΑΝΤΗΣΗ</w:t>
            </w:r>
          </w:p>
        </w:tc>
        <w:tc>
          <w:tcPr>
            <w:tcW w:w="1496"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ΠΑΡΑΠΟΜΠΗ</w:t>
            </w: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Να αναφερθούν: Κατασκευαστής, Σειρά, Μοντέλο</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Τεχνολογία απεικόνισης DLP 0.65”</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Φυσική ανάλυση &gt;= 1080p</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Φυσική αναλογία εικόνας 16:9</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Λόγος αντίθεσης &gt;= 1.500.000:1</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Φωτεινότητα &gt;=6.000 lumens</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 xml:space="preserve">Πηγή φωτός Laser </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Διάρκεια ζωής πηγής φωτός &gt;= 30.000 ώρες</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Μέγιστη υποστηριζόμενη ανάλυση &gt;= 4096x2160</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Ομοιομορφία &gt;= 85%</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Διόρθωση τραπεζοειδούς εικόνας (</w:t>
            </w:r>
            <w:r w:rsidRPr="001B2B14">
              <w:rPr>
                <w:rFonts w:ascii="Tahoma" w:hAnsi="Tahoma" w:cs="Tahoma"/>
                <w:sz w:val="20"/>
                <w:szCs w:val="20"/>
                <w:lang w:eastAsia="el-GR"/>
              </w:rPr>
              <w:t>keystone</w:t>
            </w:r>
            <w:r w:rsidRPr="001B2B14">
              <w:rPr>
                <w:rFonts w:ascii="Tahoma" w:hAnsi="Tahoma" w:cs="Tahoma"/>
                <w:sz w:val="20"/>
                <w:szCs w:val="20"/>
                <w:lang w:val="el-GR" w:eastAsia="el-GR"/>
              </w:rPr>
              <w:t xml:space="preserve"> </w:t>
            </w:r>
            <w:r w:rsidRPr="001B2B14">
              <w:rPr>
                <w:rFonts w:ascii="Tahoma" w:hAnsi="Tahoma" w:cs="Tahoma"/>
                <w:sz w:val="20"/>
                <w:szCs w:val="20"/>
                <w:lang w:eastAsia="el-GR"/>
              </w:rPr>
              <w:t>correction</w:t>
            </w:r>
            <w:r w:rsidRPr="001B2B14">
              <w:rPr>
                <w:rFonts w:ascii="Tahoma" w:hAnsi="Tahoma" w:cs="Tahoma"/>
                <w:sz w:val="20"/>
                <w:szCs w:val="20"/>
                <w:lang w:val="el-GR" w:eastAsia="el-GR"/>
              </w:rPr>
              <w:t>): &gt;= +/- 30 μοίρες κάθετα, &gt;= +/- 30 μοίρες οριζόντια</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Χειροκίνητο Zoom &gt;= 1.5x</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Λόγος προβολής &lt;=1.4 έως &gt;= 2.24</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Χειροκίνητη εστίαση</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Θύρα εισόδου εικόνας HDMI 1.4 &gt;=1</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Θύρα δικτύου Ethernet RJ-45</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Θύρα εισόδου εικόνας </w:t>
            </w:r>
            <w:r w:rsidRPr="001B2B14">
              <w:rPr>
                <w:rFonts w:ascii="Tahoma" w:hAnsi="Tahoma" w:cs="Tahoma"/>
                <w:sz w:val="20"/>
                <w:szCs w:val="20"/>
                <w:lang w:eastAsia="el-GR"/>
              </w:rPr>
              <w:t>HDBaseT</w:t>
            </w:r>
            <w:r w:rsidRPr="001B2B14">
              <w:rPr>
                <w:rFonts w:ascii="Tahoma" w:hAnsi="Tahoma" w:cs="Tahoma"/>
                <w:sz w:val="20"/>
                <w:szCs w:val="20"/>
                <w:lang w:val="el-GR" w:eastAsia="el-GR"/>
              </w:rPr>
              <w:t xml:space="preserve"> </w:t>
            </w:r>
            <w:r w:rsidRPr="001B2B14">
              <w:rPr>
                <w:rFonts w:ascii="Tahoma" w:hAnsi="Tahoma" w:cs="Tahoma"/>
                <w:sz w:val="20"/>
                <w:szCs w:val="20"/>
                <w:lang w:eastAsia="el-GR"/>
              </w:rPr>
              <w:t>RJ</w:t>
            </w:r>
            <w:r w:rsidRPr="001B2B14">
              <w:rPr>
                <w:rFonts w:ascii="Tahoma" w:hAnsi="Tahoma" w:cs="Tahoma"/>
                <w:sz w:val="20"/>
                <w:szCs w:val="20"/>
                <w:lang w:val="el-GR" w:eastAsia="el-GR"/>
              </w:rPr>
              <w:t>-45</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Θύρα εξόδου αναλογικού ήχου 3.5 </w:t>
            </w:r>
            <w:r w:rsidRPr="001B2B14">
              <w:rPr>
                <w:rFonts w:ascii="Tahoma" w:hAnsi="Tahoma" w:cs="Tahoma"/>
                <w:sz w:val="20"/>
                <w:szCs w:val="20"/>
                <w:lang w:eastAsia="el-GR"/>
              </w:rPr>
              <w:t>mm</w:t>
            </w:r>
            <w:r w:rsidRPr="001B2B14">
              <w:rPr>
                <w:rFonts w:ascii="Tahoma" w:hAnsi="Tahoma" w:cs="Tahoma"/>
                <w:sz w:val="20"/>
                <w:szCs w:val="20"/>
                <w:lang w:val="el-GR" w:eastAsia="el-GR"/>
              </w:rPr>
              <w:t xml:space="preserve"> </w:t>
            </w:r>
            <w:r w:rsidRPr="001B2B14">
              <w:rPr>
                <w:rFonts w:ascii="Tahoma" w:hAnsi="Tahoma" w:cs="Tahoma"/>
                <w:sz w:val="20"/>
                <w:szCs w:val="20"/>
                <w:lang w:eastAsia="el-GR"/>
              </w:rPr>
              <w:t>Stereo</w:t>
            </w:r>
            <w:r w:rsidRPr="001B2B14">
              <w:rPr>
                <w:rFonts w:ascii="Tahoma" w:hAnsi="Tahoma" w:cs="Tahoma"/>
                <w:sz w:val="20"/>
                <w:szCs w:val="20"/>
                <w:lang w:val="el-GR" w:eastAsia="el-GR"/>
              </w:rPr>
              <w:t xml:space="preserve"> </w:t>
            </w:r>
            <w:r w:rsidRPr="001B2B14">
              <w:rPr>
                <w:rFonts w:ascii="Tahoma" w:hAnsi="Tahoma" w:cs="Tahoma"/>
                <w:sz w:val="20"/>
                <w:szCs w:val="20"/>
                <w:lang w:eastAsia="el-GR"/>
              </w:rPr>
              <w:t>Mini</w:t>
            </w:r>
            <w:r w:rsidRPr="001B2B14">
              <w:rPr>
                <w:rFonts w:ascii="Tahoma" w:hAnsi="Tahoma" w:cs="Tahoma"/>
                <w:sz w:val="20"/>
                <w:szCs w:val="20"/>
                <w:lang w:val="el-GR" w:eastAsia="el-GR"/>
              </w:rPr>
              <w:t xml:space="preserve"> </w:t>
            </w:r>
            <w:r w:rsidRPr="001B2B14">
              <w:rPr>
                <w:rFonts w:ascii="Tahoma" w:hAnsi="Tahoma" w:cs="Tahoma"/>
                <w:sz w:val="20"/>
                <w:szCs w:val="20"/>
                <w:lang w:eastAsia="el-GR"/>
              </w:rPr>
              <w:t>Jack</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Πιστοποίηση CE</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Πιστοποίηση RoHS</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r w:rsidR="00E70C14" w:rsidRPr="001B2B14" w:rsidTr="0049251F">
        <w:trPr>
          <w:trHeight w:val="567"/>
          <w:jc w:val="center"/>
        </w:trPr>
        <w:tc>
          <w:tcPr>
            <w:tcW w:w="992" w:type="dxa"/>
            <w:vAlign w:val="center"/>
          </w:tcPr>
          <w:p w:rsidR="00E70C14" w:rsidRPr="001B2B14" w:rsidRDefault="00E70C14" w:rsidP="00E70C14">
            <w:pPr>
              <w:pStyle w:val="a3"/>
              <w:numPr>
                <w:ilvl w:val="0"/>
                <w:numId w:val="42"/>
              </w:numPr>
              <w:suppressAutoHyphens w:val="0"/>
              <w:contextualSpacing/>
              <w:jc w:val="center"/>
              <w:rPr>
                <w:rFonts w:ascii="Tahoma" w:hAnsi="Tahoma" w:cs="Tahoma"/>
                <w:sz w:val="20"/>
                <w:szCs w:val="20"/>
                <w:lang w:eastAsia="en-US"/>
              </w:rPr>
            </w:pPr>
          </w:p>
        </w:tc>
        <w:tc>
          <w:tcPr>
            <w:tcW w:w="5670" w:type="dxa"/>
          </w:tcPr>
          <w:p w:rsidR="00E70C14" w:rsidRPr="001B2B14" w:rsidRDefault="00E70C14" w:rsidP="0049251F">
            <w:pPr>
              <w:suppressAutoHyphens w:val="0"/>
              <w:rPr>
                <w:rFonts w:ascii="Tahoma" w:hAnsi="Tahoma" w:cs="Tahoma"/>
                <w:sz w:val="20"/>
                <w:szCs w:val="20"/>
                <w:lang w:eastAsia="el-GR"/>
              </w:rPr>
            </w:pPr>
            <w:r w:rsidRPr="001B2B14">
              <w:rPr>
                <w:rFonts w:ascii="Tahoma" w:hAnsi="Tahoma" w:cs="Tahoma"/>
                <w:sz w:val="20"/>
                <w:szCs w:val="20"/>
                <w:lang w:eastAsia="el-GR"/>
              </w:rPr>
              <w:t>Εγγύηση καλής λειτουργίας &gt;= 3 έτη</w:t>
            </w:r>
          </w:p>
        </w:tc>
        <w:tc>
          <w:tcPr>
            <w:tcW w:w="1170"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257"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c>
          <w:tcPr>
            <w:tcW w:w="1496" w:type="dxa"/>
            <w:vAlign w:val="center"/>
          </w:tcPr>
          <w:p w:rsidR="00E70C14" w:rsidRPr="001B2B14" w:rsidRDefault="00E70C14" w:rsidP="0049251F">
            <w:pPr>
              <w:suppressAutoHyphens w:val="0"/>
              <w:rPr>
                <w:rFonts w:ascii="Tahoma" w:hAnsi="Tahoma" w:cs="Tahoma"/>
                <w:sz w:val="20"/>
                <w:szCs w:val="20"/>
                <w:lang w:eastAsia="en-US"/>
              </w:rPr>
            </w:pPr>
          </w:p>
        </w:tc>
      </w:tr>
    </w:tbl>
    <w:p w:rsidR="00E70C14" w:rsidRPr="001B2B14" w:rsidRDefault="00E70C14" w:rsidP="00E70C14">
      <w:pPr>
        <w:suppressAutoHyphens w:val="0"/>
        <w:rPr>
          <w:rFonts w:ascii="Tahoma" w:hAnsi="Tahoma" w:cs="Tahoma"/>
          <w:sz w:val="20"/>
          <w:szCs w:val="20"/>
          <w:lang w:val="en-US" w:eastAsia="el-GR"/>
        </w:rPr>
      </w:pPr>
    </w:p>
    <w:p w:rsidR="00E70C14" w:rsidRPr="001B2B14" w:rsidRDefault="00E70C14" w:rsidP="00E70C14">
      <w:pPr>
        <w:suppressAutoHyphens w:val="0"/>
        <w:rPr>
          <w:rFonts w:ascii="Tahoma" w:hAnsi="Tahoma" w:cs="Tahoma"/>
          <w:sz w:val="20"/>
          <w:szCs w:val="20"/>
          <w:lang w:val="en-US" w:eastAsia="el-GR"/>
        </w:rPr>
      </w:pPr>
    </w:p>
    <w:tbl>
      <w:tblPr>
        <w:tblStyle w:val="4"/>
        <w:tblW w:w="10490" w:type="dxa"/>
        <w:jc w:val="center"/>
        <w:tblLook w:val="04A0" w:firstRow="1" w:lastRow="0" w:firstColumn="1" w:lastColumn="0" w:noHBand="0" w:noVBand="1"/>
      </w:tblPr>
      <w:tblGrid>
        <w:gridCol w:w="704"/>
        <w:gridCol w:w="6672"/>
        <w:gridCol w:w="1555"/>
        <w:gridCol w:w="1559"/>
      </w:tblGrid>
      <w:tr w:rsidR="00E70C14" w:rsidRPr="001B2B14" w:rsidTr="0049251F">
        <w:trPr>
          <w:jc w:val="center"/>
        </w:trPr>
        <w:tc>
          <w:tcPr>
            <w:tcW w:w="704"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A/A</w:t>
            </w:r>
          </w:p>
        </w:tc>
        <w:tc>
          <w:tcPr>
            <w:tcW w:w="6672"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ΠΡΟΔΙΑΓΡΑΦΗ</w:t>
            </w:r>
          </w:p>
        </w:tc>
        <w:tc>
          <w:tcPr>
            <w:tcW w:w="1555"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ΑΠΑΙΤΗΣΗ</w:t>
            </w:r>
          </w:p>
        </w:tc>
        <w:tc>
          <w:tcPr>
            <w:tcW w:w="1559" w:type="dxa"/>
            <w:shd w:val="clear" w:color="auto" w:fill="BDD6EE"/>
            <w:vAlign w:val="center"/>
          </w:tcPr>
          <w:p w:rsidR="00E70C14" w:rsidRPr="001B2B14" w:rsidRDefault="00E70C14" w:rsidP="0049251F">
            <w:pPr>
              <w:suppressAutoHyphens w:val="0"/>
              <w:jc w:val="center"/>
              <w:rPr>
                <w:rFonts w:ascii="Tahoma" w:hAnsi="Tahoma" w:cs="Tahoma"/>
                <w:b/>
                <w:sz w:val="20"/>
                <w:szCs w:val="20"/>
                <w:lang w:eastAsia="en-US"/>
              </w:rPr>
            </w:pPr>
            <w:r w:rsidRPr="001B2B14">
              <w:rPr>
                <w:rFonts w:ascii="Tahoma" w:hAnsi="Tahoma" w:cs="Tahoma"/>
                <w:b/>
                <w:sz w:val="20"/>
                <w:szCs w:val="20"/>
                <w:lang w:eastAsia="en-US"/>
              </w:rPr>
              <w:t>ΑΠΑΝΤΗΣΗ</w:t>
            </w: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Ο Ανάδοχος οφείλει να εγκαταστήσει τον εξοπλισμό</w:t>
            </w:r>
            <w:r w:rsidRPr="001B2B14">
              <w:rPr>
                <w:rFonts w:ascii="Tahoma" w:hAnsi="Tahoma" w:cs="Tahoma"/>
                <w:color w:val="000000"/>
                <w:sz w:val="20"/>
                <w:szCs w:val="20"/>
                <w:lang w:val="el-GR" w:eastAsia="el-GR"/>
              </w:rPr>
              <w:t>, με τρόπο καλαίσθητο, καθ’ υπόδειξη του Αναθέτοντα και</w:t>
            </w:r>
            <w:r w:rsidRPr="001B2B14">
              <w:rPr>
                <w:rFonts w:ascii="Tahoma" w:hAnsi="Tahoma" w:cs="Tahoma"/>
                <w:sz w:val="20"/>
                <w:szCs w:val="20"/>
                <w:lang w:val="el-GR" w:eastAsia="el-GR"/>
              </w:rPr>
              <w:t xml:space="preserve"> χωρίς να προκαλέσει φθορές σε υφιστάμενες κτιριακές υποδομές (τοιχοποιία, ηλεκτρομηχανολογικά συστήματα κτλ).</w:t>
            </w:r>
          </w:p>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Σε περίπτωση που προκληθούν φθορές, ο Ανάδοχος υποχρεούται να αποκαταστήσει τις φθαρμένες υποδομές και να τις επαναφέρει στην κατάσταση που ήταν, προ της προκλήσεων αυτών.</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Όλες οι διαδρομές καλωδιώσεων θα οδεύουν εντός υφιστάμενων περιμετρικών οδεύσεων. Σε περίπτωση που απαιτηθεί οι καλωδιώσεις να διατρέχουν εξωτερικά κάθετους τοίχους, θα τοποθετηθούν εντός πλαστικών καναλιών εσωτερικού χώρου κατάλληλου χρώματος, ενώ οι καλωδιώσεις δαπέδων θα τοποθετηθούν σε ελλειψοειδές (κουρμπαριστό) κανάλι αντοχής.</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color w:val="000000"/>
                <w:sz w:val="20"/>
                <w:szCs w:val="20"/>
                <w:lang w:val="el-GR" w:eastAsia="el-GR"/>
              </w:rPr>
              <w:t>Σε περίπτωση που προκύψει η ανάγκη χρήσης συμπληρωματικών υλικών κατά τη φάση υλοποίησης της εγκατάστασης (πχ. λόγω κτηριακών ιδιαιτεροτήτων), ο Ανάδοχος θα τα παρέχει χωρίς επιπλέον κόστος.</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Ο Ανάδοχος θα κάνει αποξήλωση βάσης προβολικού και καλωδιώσεων από την παλαιά θέση.</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Ο Ανάδοχος θα κάνει τοποθέτηση βάσης προβολικού στη νέα θέση και προσαρμογή του νέου προβολικού πάνω σε αυτή.</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Ο Ανάδοχος θα κάνει τοποθέτηση του υφιστάμενου καλωδίου </w:t>
            </w:r>
            <w:r w:rsidRPr="001B2B14">
              <w:rPr>
                <w:rFonts w:ascii="Tahoma" w:hAnsi="Tahoma" w:cs="Tahoma"/>
                <w:sz w:val="20"/>
                <w:szCs w:val="20"/>
                <w:lang w:val="en-GB" w:eastAsia="el-GR"/>
              </w:rPr>
              <w:t>HDMI</w:t>
            </w:r>
            <w:r w:rsidRPr="001B2B14">
              <w:rPr>
                <w:rFonts w:ascii="Tahoma" w:hAnsi="Tahoma" w:cs="Tahoma"/>
                <w:sz w:val="20"/>
                <w:szCs w:val="20"/>
                <w:lang w:val="el-GR" w:eastAsia="el-GR"/>
              </w:rPr>
              <w:t xml:space="preserve"> από τη νέα θέση προβολικού προς την έδρα της σκηνής.</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Ο Ανάδοχος θα κάνει τοποθέτηση υφιστάμενου καλωδίου τροφοδοσίας 220</w:t>
            </w:r>
            <w:r w:rsidRPr="001B2B14">
              <w:rPr>
                <w:rFonts w:ascii="Tahoma" w:hAnsi="Tahoma" w:cs="Tahoma"/>
                <w:sz w:val="20"/>
                <w:szCs w:val="20"/>
                <w:lang w:val="en-GB" w:eastAsia="el-GR"/>
              </w:rPr>
              <w:t>V</w:t>
            </w:r>
            <w:r w:rsidRPr="001B2B14">
              <w:rPr>
                <w:rFonts w:ascii="Tahoma" w:hAnsi="Tahoma" w:cs="Tahoma"/>
                <w:sz w:val="20"/>
                <w:szCs w:val="20"/>
                <w:lang w:val="el-GR" w:eastAsia="el-GR"/>
              </w:rPr>
              <w:t>/</w:t>
            </w:r>
            <w:r w:rsidRPr="001B2B14">
              <w:rPr>
                <w:rFonts w:ascii="Tahoma" w:hAnsi="Tahoma" w:cs="Tahoma"/>
                <w:sz w:val="20"/>
                <w:szCs w:val="20"/>
                <w:lang w:val="en-GB" w:eastAsia="el-GR"/>
              </w:rPr>
              <w:t>AC</w:t>
            </w:r>
            <w:r w:rsidRPr="001B2B14">
              <w:rPr>
                <w:rFonts w:ascii="Tahoma" w:hAnsi="Tahoma" w:cs="Tahoma"/>
                <w:sz w:val="20"/>
                <w:szCs w:val="20"/>
                <w:lang w:val="el-GR" w:eastAsia="el-GR"/>
              </w:rPr>
              <w:t xml:space="preserve"> από τη νέα θέση προβολικού προς την υφιστάμενη παροχή.</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Ο Ανάδοχος θα κάνει τοποθέτηση νέου καλωδίου σήματος δικτύου </w:t>
            </w:r>
            <w:r w:rsidRPr="001B2B14">
              <w:rPr>
                <w:rFonts w:ascii="Tahoma" w:hAnsi="Tahoma" w:cs="Tahoma"/>
                <w:sz w:val="20"/>
                <w:szCs w:val="20"/>
                <w:lang w:val="en-GB" w:eastAsia="el-GR"/>
              </w:rPr>
              <w:t>Ethernet</w:t>
            </w:r>
            <w:r w:rsidRPr="001B2B14">
              <w:rPr>
                <w:rFonts w:ascii="Tahoma" w:hAnsi="Tahoma" w:cs="Tahoma"/>
                <w:sz w:val="20"/>
                <w:szCs w:val="20"/>
                <w:lang w:val="el-GR" w:eastAsia="el-GR"/>
              </w:rPr>
              <w:t xml:space="preserve"> τύπου </w:t>
            </w:r>
            <w:r w:rsidRPr="001B2B14">
              <w:rPr>
                <w:rFonts w:ascii="Tahoma" w:hAnsi="Tahoma" w:cs="Tahoma"/>
                <w:sz w:val="20"/>
                <w:szCs w:val="20"/>
                <w:lang w:val="en-GB" w:eastAsia="el-GR"/>
              </w:rPr>
              <w:t>CAT</w:t>
            </w:r>
            <w:r w:rsidRPr="001B2B14">
              <w:rPr>
                <w:rFonts w:ascii="Tahoma" w:hAnsi="Tahoma" w:cs="Tahoma"/>
                <w:sz w:val="20"/>
                <w:szCs w:val="20"/>
                <w:lang w:val="el-GR" w:eastAsia="el-GR"/>
              </w:rPr>
              <w:t>.6</w:t>
            </w:r>
            <w:r w:rsidRPr="001B2B14">
              <w:rPr>
                <w:rFonts w:ascii="Tahoma" w:hAnsi="Tahoma" w:cs="Tahoma"/>
                <w:sz w:val="20"/>
                <w:szCs w:val="20"/>
                <w:lang w:val="en-GB" w:eastAsia="el-GR"/>
              </w:rPr>
              <w:t>A</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S</w:t>
            </w:r>
            <w:r w:rsidRPr="001B2B14">
              <w:rPr>
                <w:rFonts w:ascii="Tahoma" w:hAnsi="Tahoma" w:cs="Tahoma"/>
                <w:sz w:val="20"/>
                <w:szCs w:val="20"/>
                <w:lang w:val="el-GR" w:eastAsia="el-GR"/>
              </w:rPr>
              <w:t>/</w:t>
            </w:r>
            <w:r w:rsidRPr="001B2B14">
              <w:rPr>
                <w:rFonts w:ascii="Tahoma" w:hAnsi="Tahoma" w:cs="Tahoma"/>
                <w:sz w:val="20"/>
                <w:szCs w:val="20"/>
                <w:lang w:val="en-GB" w:eastAsia="el-GR"/>
              </w:rPr>
              <w:t>FTP</w:t>
            </w:r>
            <w:r w:rsidRPr="001B2B14">
              <w:rPr>
                <w:rFonts w:ascii="Tahoma" w:hAnsi="Tahoma" w:cs="Tahoma"/>
                <w:sz w:val="20"/>
                <w:szCs w:val="20"/>
                <w:lang w:val="el-GR" w:eastAsia="el-GR"/>
              </w:rPr>
              <w:t xml:space="preserve"> με τερματισμένα άκρα </w:t>
            </w:r>
            <w:r w:rsidRPr="001B2B14">
              <w:rPr>
                <w:rFonts w:ascii="Tahoma" w:hAnsi="Tahoma" w:cs="Tahoma"/>
                <w:sz w:val="20"/>
                <w:szCs w:val="20"/>
                <w:lang w:val="en-GB" w:eastAsia="el-GR"/>
              </w:rPr>
              <w:t>RJ</w:t>
            </w:r>
            <w:r w:rsidRPr="001B2B14">
              <w:rPr>
                <w:rFonts w:ascii="Tahoma" w:hAnsi="Tahoma" w:cs="Tahoma"/>
                <w:sz w:val="20"/>
                <w:szCs w:val="20"/>
                <w:lang w:val="el-GR" w:eastAsia="el-GR"/>
              </w:rPr>
              <w:t xml:space="preserve">-45 </w:t>
            </w:r>
            <w:r w:rsidRPr="001B2B14">
              <w:rPr>
                <w:rFonts w:ascii="Tahoma" w:hAnsi="Tahoma" w:cs="Tahoma"/>
                <w:sz w:val="20"/>
                <w:szCs w:val="20"/>
                <w:lang w:eastAsia="el-GR"/>
              </w:rPr>
              <w:t>STP</w:t>
            </w:r>
            <w:r w:rsidRPr="001B2B14">
              <w:rPr>
                <w:rFonts w:ascii="Tahoma" w:hAnsi="Tahoma" w:cs="Tahoma"/>
                <w:sz w:val="20"/>
                <w:szCs w:val="20"/>
                <w:lang w:val="el-GR" w:eastAsia="el-GR"/>
              </w:rPr>
              <w:t xml:space="preserve"> από τη νέα θέση προβολικού προς το δωμάτιο χειριστή (</w:t>
            </w:r>
            <w:r w:rsidRPr="001B2B14">
              <w:rPr>
                <w:rFonts w:ascii="Tahoma" w:hAnsi="Tahoma" w:cs="Tahoma"/>
                <w:sz w:val="20"/>
                <w:szCs w:val="20"/>
                <w:lang w:val="en-GB" w:eastAsia="el-GR"/>
              </w:rPr>
              <w:t>Master</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Control</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Room</w:t>
            </w:r>
            <w:r w:rsidRPr="001B2B14">
              <w:rPr>
                <w:rFonts w:ascii="Tahoma" w:hAnsi="Tahoma" w:cs="Tahoma"/>
                <w:sz w:val="20"/>
                <w:szCs w:val="20"/>
                <w:lang w:val="el-GR" w:eastAsia="el-GR"/>
              </w:rPr>
              <w:t xml:space="preserve">, σε θύρα του μεταγωγέα </w:t>
            </w:r>
            <w:r w:rsidRPr="001B2B14">
              <w:rPr>
                <w:rFonts w:ascii="Tahoma" w:hAnsi="Tahoma" w:cs="Tahoma"/>
                <w:sz w:val="20"/>
                <w:szCs w:val="20"/>
                <w:lang w:val="en-GB" w:eastAsia="el-GR"/>
              </w:rPr>
              <w:t>Ethernet</w:t>
            </w:r>
            <w:r w:rsidRPr="001B2B14">
              <w:rPr>
                <w:rFonts w:ascii="Tahoma" w:hAnsi="Tahoma" w:cs="Tahoma"/>
                <w:sz w:val="20"/>
                <w:szCs w:val="20"/>
                <w:lang w:val="el-GR" w:eastAsia="el-GR"/>
              </w:rPr>
              <w:t>).</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Ο Ανάδοχος θα κάνει τοποθέτηση νέου καλωδίου στερεοφωνικού ήχου (προτερματισμένο διπλό </w:t>
            </w:r>
            <w:r w:rsidRPr="001B2B14">
              <w:rPr>
                <w:rFonts w:ascii="Tahoma" w:hAnsi="Tahoma" w:cs="Tahoma"/>
                <w:sz w:val="20"/>
                <w:szCs w:val="20"/>
                <w:lang w:val="en-GB" w:eastAsia="el-GR"/>
              </w:rPr>
              <w:t>RCA</w:t>
            </w:r>
            <w:r w:rsidRPr="001B2B14">
              <w:rPr>
                <w:rFonts w:ascii="Tahoma" w:hAnsi="Tahoma" w:cs="Tahoma"/>
                <w:sz w:val="20"/>
                <w:szCs w:val="20"/>
                <w:lang w:val="el-GR" w:eastAsia="el-GR"/>
              </w:rPr>
              <w:t xml:space="preserve">, χαμηλής ωμικής αντίστασης/μέτρο, με θωράκιση) από τη νέα θέση προβολικού (με </w:t>
            </w:r>
            <w:r w:rsidRPr="001B2B14">
              <w:rPr>
                <w:rFonts w:ascii="Tahoma" w:hAnsi="Tahoma" w:cs="Tahoma"/>
                <w:sz w:val="20"/>
                <w:szCs w:val="20"/>
                <w:lang w:val="en-GB" w:eastAsia="el-GR"/>
              </w:rPr>
              <w:t>adaptor</w:t>
            </w:r>
            <w:r w:rsidRPr="001B2B14">
              <w:rPr>
                <w:rFonts w:ascii="Tahoma" w:hAnsi="Tahoma" w:cs="Tahoma"/>
                <w:sz w:val="20"/>
                <w:szCs w:val="20"/>
                <w:lang w:val="el-GR" w:eastAsia="el-GR"/>
              </w:rPr>
              <w:t xml:space="preserve"> 2</w:t>
            </w:r>
            <w:r w:rsidRPr="001B2B14">
              <w:rPr>
                <w:rFonts w:ascii="Tahoma" w:hAnsi="Tahoma" w:cs="Tahoma"/>
                <w:sz w:val="20"/>
                <w:szCs w:val="20"/>
                <w:lang w:eastAsia="el-GR"/>
              </w:rPr>
              <w:t>xRCA</w:t>
            </w:r>
            <w:r w:rsidRPr="001B2B14">
              <w:rPr>
                <w:rFonts w:ascii="Tahoma" w:hAnsi="Tahoma" w:cs="Tahoma"/>
                <w:sz w:val="20"/>
                <w:szCs w:val="20"/>
                <w:lang w:val="el-GR" w:eastAsia="el-GR"/>
              </w:rPr>
              <w:t xml:space="preserve"> </w:t>
            </w:r>
            <w:r w:rsidRPr="001B2B14">
              <w:rPr>
                <w:rFonts w:ascii="Tahoma" w:hAnsi="Tahoma" w:cs="Tahoma"/>
                <w:sz w:val="20"/>
                <w:szCs w:val="20"/>
                <w:lang w:eastAsia="el-GR"/>
              </w:rPr>
              <w:t>female</w:t>
            </w:r>
            <w:r w:rsidRPr="001B2B14">
              <w:rPr>
                <w:rFonts w:ascii="Tahoma" w:hAnsi="Tahoma" w:cs="Tahoma"/>
                <w:sz w:val="20"/>
                <w:szCs w:val="20"/>
                <w:lang w:val="el-GR" w:eastAsia="el-GR"/>
              </w:rPr>
              <w:t xml:space="preserve"> σε 3.5 </w:t>
            </w:r>
            <w:r w:rsidRPr="001B2B14">
              <w:rPr>
                <w:rFonts w:ascii="Tahoma" w:hAnsi="Tahoma" w:cs="Tahoma"/>
                <w:sz w:val="20"/>
                <w:szCs w:val="20"/>
                <w:lang w:eastAsia="el-GR"/>
              </w:rPr>
              <w:t>mm</w:t>
            </w:r>
            <w:r w:rsidRPr="001B2B14">
              <w:rPr>
                <w:rFonts w:ascii="Tahoma" w:hAnsi="Tahoma" w:cs="Tahoma"/>
                <w:sz w:val="20"/>
                <w:szCs w:val="20"/>
                <w:lang w:val="el-GR" w:eastAsia="el-GR"/>
              </w:rPr>
              <w:t xml:space="preserve"> </w:t>
            </w:r>
            <w:r w:rsidRPr="001B2B14">
              <w:rPr>
                <w:rFonts w:ascii="Tahoma" w:hAnsi="Tahoma" w:cs="Tahoma"/>
                <w:sz w:val="20"/>
                <w:szCs w:val="20"/>
                <w:lang w:eastAsia="el-GR"/>
              </w:rPr>
              <w:t>Stereo</w:t>
            </w:r>
            <w:r w:rsidRPr="001B2B14">
              <w:rPr>
                <w:rFonts w:ascii="Tahoma" w:hAnsi="Tahoma" w:cs="Tahoma"/>
                <w:sz w:val="20"/>
                <w:szCs w:val="20"/>
                <w:lang w:val="el-GR" w:eastAsia="el-GR"/>
              </w:rPr>
              <w:t xml:space="preserve"> </w:t>
            </w:r>
            <w:r w:rsidRPr="001B2B14">
              <w:rPr>
                <w:rFonts w:ascii="Tahoma" w:hAnsi="Tahoma" w:cs="Tahoma"/>
                <w:sz w:val="20"/>
                <w:szCs w:val="20"/>
                <w:lang w:eastAsia="el-GR"/>
              </w:rPr>
              <w:t>Mini</w:t>
            </w:r>
            <w:r w:rsidRPr="001B2B14">
              <w:rPr>
                <w:rFonts w:ascii="Tahoma" w:hAnsi="Tahoma" w:cs="Tahoma"/>
                <w:sz w:val="20"/>
                <w:szCs w:val="20"/>
                <w:lang w:val="el-GR" w:eastAsia="el-GR"/>
              </w:rPr>
              <w:t xml:space="preserve"> </w:t>
            </w:r>
            <w:r w:rsidRPr="001B2B14">
              <w:rPr>
                <w:rFonts w:ascii="Tahoma" w:hAnsi="Tahoma" w:cs="Tahoma"/>
                <w:sz w:val="20"/>
                <w:szCs w:val="20"/>
                <w:lang w:eastAsia="el-GR"/>
              </w:rPr>
              <w:t>Jack</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male</w:t>
            </w:r>
            <w:r w:rsidRPr="001B2B14">
              <w:rPr>
                <w:rFonts w:ascii="Tahoma" w:hAnsi="Tahoma" w:cs="Tahoma"/>
                <w:sz w:val="20"/>
                <w:szCs w:val="20"/>
                <w:lang w:val="el-GR" w:eastAsia="el-GR"/>
              </w:rPr>
              <w:t>)  προς το δωμάτιο χειριστή (</w:t>
            </w:r>
            <w:r w:rsidRPr="001B2B14">
              <w:rPr>
                <w:rFonts w:ascii="Tahoma" w:hAnsi="Tahoma" w:cs="Tahoma"/>
                <w:sz w:val="20"/>
                <w:szCs w:val="20"/>
                <w:lang w:val="en-GB" w:eastAsia="el-GR"/>
              </w:rPr>
              <w:t>Master</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Control</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Room</w:t>
            </w:r>
            <w:r w:rsidRPr="001B2B14">
              <w:rPr>
                <w:rFonts w:ascii="Tahoma" w:hAnsi="Tahoma" w:cs="Tahoma"/>
                <w:sz w:val="20"/>
                <w:szCs w:val="20"/>
                <w:lang w:val="el-GR" w:eastAsia="el-GR"/>
              </w:rPr>
              <w:t>, σε θύρα του μίκτη ήχου).</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r w:rsidR="00E70C14" w:rsidRPr="001B2B14" w:rsidTr="0049251F">
        <w:trPr>
          <w:jc w:val="center"/>
        </w:trPr>
        <w:tc>
          <w:tcPr>
            <w:tcW w:w="704" w:type="dxa"/>
            <w:vAlign w:val="center"/>
          </w:tcPr>
          <w:p w:rsidR="00E70C14" w:rsidRPr="001B2B14" w:rsidRDefault="00E70C14" w:rsidP="00E70C14">
            <w:pPr>
              <w:pStyle w:val="a3"/>
              <w:numPr>
                <w:ilvl w:val="0"/>
                <w:numId w:val="43"/>
              </w:numPr>
              <w:suppressAutoHyphens w:val="0"/>
              <w:ind w:right="-102"/>
              <w:contextualSpacing/>
              <w:jc w:val="center"/>
              <w:rPr>
                <w:rFonts w:ascii="Tahoma" w:hAnsi="Tahoma" w:cs="Tahoma"/>
                <w:sz w:val="20"/>
                <w:szCs w:val="20"/>
                <w:lang w:eastAsia="en-US"/>
              </w:rPr>
            </w:pPr>
          </w:p>
        </w:tc>
        <w:tc>
          <w:tcPr>
            <w:tcW w:w="6672" w:type="dxa"/>
          </w:tcPr>
          <w:p w:rsidR="00E70C14" w:rsidRPr="001B2B14" w:rsidRDefault="00E70C14" w:rsidP="0049251F">
            <w:pPr>
              <w:suppressAutoHyphens w:val="0"/>
              <w:rPr>
                <w:rFonts w:ascii="Tahoma" w:hAnsi="Tahoma" w:cs="Tahoma"/>
                <w:sz w:val="20"/>
                <w:szCs w:val="20"/>
                <w:lang w:val="el-GR" w:eastAsia="el-GR"/>
              </w:rPr>
            </w:pPr>
            <w:r w:rsidRPr="001B2B14">
              <w:rPr>
                <w:rFonts w:ascii="Tahoma" w:hAnsi="Tahoma" w:cs="Tahoma"/>
                <w:sz w:val="20"/>
                <w:szCs w:val="20"/>
                <w:lang w:val="el-GR" w:eastAsia="el-GR"/>
              </w:rPr>
              <w:t xml:space="preserve">Ο Ανάδοχος θα κάνει τοποθέτηση νέου καλωδίου σήματος εικόνας </w:t>
            </w:r>
            <w:r w:rsidRPr="001B2B14">
              <w:rPr>
                <w:rFonts w:ascii="Tahoma" w:hAnsi="Tahoma" w:cs="Tahoma"/>
                <w:sz w:val="20"/>
                <w:szCs w:val="20"/>
                <w:lang w:val="en-GB" w:eastAsia="el-GR"/>
              </w:rPr>
              <w:t>HDBaseT</w:t>
            </w:r>
            <w:r w:rsidRPr="001B2B14">
              <w:rPr>
                <w:rFonts w:ascii="Tahoma" w:hAnsi="Tahoma" w:cs="Tahoma"/>
                <w:sz w:val="20"/>
                <w:szCs w:val="20"/>
                <w:lang w:val="el-GR" w:eastAsia="el-GR"/>
              </w:rPr>
              <w:t xml:space="preserve"> τύπου </w:t>
            </w:r>
            <w:r w:rsidRPr="001B2B14">
              <w:rPr>
                <w:rFonts w:ascii="Tahoma" w:hAnsi="Tahoma" w:cs="Tahoma"/>
                <w:sz w:val="20"/>
                <w:szCs w:val="20"/>
                <w:lang w:val="en-GB" w:eastAsia="el-GR"/>
              </w:rPr>
              <w:t>CAT</w:t>
            </w:r>
            <w:r w:rsidRPr="001B2B14">
              <w:rPr>
                <w:rFonts w:ascii="Tahoma" w:hAnsi="Tahoma" w:cs="Tahoma"/>
                <w:sz w:val="20"/>
                <w:szCs w:val="20"/>
                <w:lang w:val="el-GR" w:eastAsia="el-GR"/>
              </w:rPr>
              <w:t>.6</w:t>
            </w:r>
            <w:r w:rsidRPr="001B2B14">
              <w:rPr>
                <w:rFonts w:ascii="Tahoma" w:hAnsi="Tahoma" w:cs="Tahoma"/>
                <w:sz w:val="20"/>
                <w:szCs w:val="20"/>
                <w:lang w:val="en-GB" w:eastAsia="el-GR"/>
              </w:rPr>
              <w:t>A</w:t>
            </w:r>
            <w:r w:rsidRPr="001B2B14">
              <w:rPr>
                <w:rFonts w:ascii="Tahoma" w:hAnsi="Tahoma" w:cs="Tahoma"/>
                <w:sz w:val="20"/>
                <w:szCs w:val="20"/>
                <w:lang w:val="el-GR" w:eastAsia="el-GR"/>
              </w:rPr>
              <w:t xml:space="preserve"> </w:t>
            </w:r>
            <w:r w:rsidRPr="001B2B14">
              <w:rPr>
                <w:rFonts w:ascii="Tahoma" w:hAnsi="Tahoma" w:cs="Tahoma"/>
                <w:sz w:val="20"/>
                <w:szCs w:val="20"/>
                <w:lang w:val="en-GB" w:eastAsia="el-GR"/>
              </w:rPr>
              <w:t>S</w:t>
            </w:r>
            <w:r w:rsidRPr="001B2B14">
              <w:rPr>
                <w:rFonts w:ascii="Tahoma" w:hAnsi="Tahoma" w:cs="Tahoma"/>
                <w:sz w:val="20"/>
                <w:szCs w:val="20"/>
                <w:lang w:val="el-GR" w:eastAsia="el-GR"/>
              </w:rPr>
              <w:t>/</w:t>
            </w:r>
            <w:r w:rsidRPr="001B2B14">
              <w:rPr>
                <w:rFonts w:ascii="Tahoma" w:hAnsi="Tahoma" w:cs="Tahoma"/>
                <w:sz w:val="20"/>
                <w:szCs w:val="20"/>
                <w:lang w:val="en-GB" w:eastAsia="el-GR"/>
              </w:rPr>
              <w:t>FTP</w:t>
            </w:r>
            <w:r w:rsidRPr="001B2B14">
              <w:rPr>
                <w:rFonts w:ascii="Tahoma" w:hAnsi="Tahoma" w:cs="Tahoma"/>
                <w:sz w:val="20"/>
                <w:szCs w:val="20"/>
                <w:lang w:val="el-GR" w:eastAsia="el-GR"/>
              </w:rPr>
              <w:t xml:space="preserve"> με τερματισμένα άκρα </w:t>
            </w:r>
            <w:r w:rsidRPr="001B2B14">
              <w:rPr>
                <w:rFonts w:ascii="Tahoma" w:hAnsi="Tahoma" w:cs="Tahoma"/>
                <w:sz w:val="20"/>
                <w:szCs w:val="20"/>
                <w:lang w:val="en-GB" w:eastAsia="el-GR"/>
              </w:rPr>
              <w:t>RJ</w:t>
            </w:r>
            <w:r w:rsidRPr="001B2B14">
              <w:rPr>
                <w:rFonts w:ascii="Tahoma" w:hAnsi="Tahoma" w:cs="Tahoma"/>
                <w:sz w:val="20"/>
                <w:szCs w:val="20"/>
                <w:lang w:val="el-GR" w:eastAsia="el-GR"/>
              </w:rPr>
              <w:t xml:space="preserve">-45 </w:t>
            </w:r>
            <w:r w:rsidRPr="001B2B14">
              <w:rPr>
                <w:rFonts w:ascii="Tahoma" w:hAnsi="Tahoma" w:cs="Tahoma"/>
                <w:sz w:val="20"/>
                <w:szCs w:val="20"/>
                <w:lang w:eastAsia="el-GR"/>
              </w:rPr>
              <w:t>STP</w:t>
            </w:r>
            <w:r w:rsidRPr="001B2B14">
              <w:rPr>
                <w:rFonts w:ascii="Tahoma" w:hAnsi="Tahoma" w:cs="Tahoma"/>
                <w:sz w:val="20"/>
                <w:szCs w:val="20"/>
                <w:lang w:val="el-GR" w:eastAsia="el-GR"/>
              </w:rPr>
              <w:t xml:space="preserve"> από τη νέα θέση προβολικού προς την έδρα της σκηνής.</w:t>
            </w:r>
          </w:p>
        </w:tc>
        <w:tc>
          <w:tcPr>
            <w:tcW w:w="1555" w:type="dxa"/>
            <w:vAlign w:val="center"/>
          </w:tcPr>
          <w:p w:rsidR="00E70C14" w:rsidRPr="001B2B14" w:rsidRDefault="00E70C14" w:rsidP="0049251F">
            <w:pPr>
              <w:suppressAutoHyphens w:val="0"/>
              <w:jc w:val="center"/>
              <w:rPr>
                <w:rFonts w:ascii="Tahoma" w:hAnsi="Tahoma" w:cs="Tahoma"/>
                <w:sz w:val="20"/>
                <w:szCs w:val="20"/>
                <w:lang w:eastAsia="el-GR"/>
              </w:rPr>
            </w:pPr>
            <w:r w:rsidRPr="001B2B14">
              <w:rPr>
                <w:rFonts w:ascii="Tahoma" w:hAnsi="Tahoma" w:cs="Tahoma"/>
                <w:color w:val="000000"/>
                <w:sz w:val="20"/>
                <w:szCs w:val="20"/>
                <w:lang w:eastAsia="el-GR"/>
              </w:rPr>
              <w:t>NAI</w:t>
            </w:r>
          </w:p>
        </w:tc>
        <w:tc>
          <w:tcPr>
            <w:tcW w:w="1559" w:type="dxa"/>
            <w:vAlign w:val="center"/>
          </w:tcPr>
          <w:p w:rsidR="00E70C14" w:rsidRPr="001B2B14" w:rsidRDefault="00E70C14" w:rsidP="0049251F">
            <w:pPr>
              <w:suppressAutoHyphens w:val="0"/>
              <w:jc w:val="center"/>
              <w:rPr>
                <w:rFonts w:ascii="Tahoma" w:hAnsi="Tahoma" w:cs="Tahoma"/>
                <w:b/>
                <w:color w:val="FF0000"/>
                <w:sz w:val="20"/>
                <w:szCs w:val="20"/>
                <w:lang w:eastAsia="en-US"/>
              </w:rPr>
            </w:pPr>
          </w:p>
        </w:tc>
      </w:tr>
    </w:tbl>
    <w:p w:rsidR="00E70C14" w:rsidRPr="001B2B14" w:rsidRDefault="00E70C14" w:rsidP="00E70C14">
      <w:pPr>
        <w:suppressAutoHyphens w:val="0"/>
        <w:spacing w:after="120"/>
        <w:ind w:right="-99"/>
        <w:contextualSpacing/>
        <w:rPr>
          <w:rFonts w:ascii="Tahoma" w:hAnsi="Tahoma" w:cs="Tahoma"/>
          <w:b/>
          <w:sz w:val="20"/>
          <w:szCs w:val="20"/>
          <w:lang w:eastAsia="zh-CN"/>
        </w:rPr>
      </w:pPr>
    </w:p>
    <w:p w:rsidR="00E70C14" w:rsidRPr="001B2B14" w:rsidRDefault="00E70C14" w:rsidP="00E70C14">
      <w:pPr>
        <w:suppressAutoHyphens w:val="0"/>
        <w:autoSpaceDE w:val="0"/>
        <w:autoSpaceDN w:val="0"/>
        <w:adjustRightInd w:val="0"/>
        <w:spacing w:after="120"/>
        <w:ind w:right="-99"/>
        <w:contextualSpacing/>
        <w:rPr>
          <w:rFonts w:ascii="Tahoma" w:hAnsi="Tahoma" w:cs="Tahoma"/>
          <w:color w:val="000000"/>
          <w:sz w:val="20"/>
          <w:szCs w:val="20"/>
          <w:lang w:eastAsia="el-GR"/>
        </w:rPr>
      </w:pPr>
    </w:p>
    <w:p w:rsidR="00E70C14" w:rsidRPr="001B2B14" w:rsidRDefault="00E70C14" w:rsidP="00E70C14">
      <w:pPr>
        <w:suppressAutoHyphens w:val="0"/>
        <w:autoSpaceDE w:val="0"/>
        <w:autoSpaceDN w:val="0"/>
        <w:adjustRightInd w:val="0"/>
        <w:spacing w:after="120"/>
        <w:ind w:right="-99"/>
        <w:contextualSpacing/>
        <w:jc w:val="center"/>
        <w:rPr>
          <w:rFonts w:ascii="Tahoma" w:hAnsi="Tahoma" w:cs="Tahoma"/>
          <w:sz w:val="20"/>
          <w:szCs w:val="20"/>
        </w:rPr>
      </w:pPr>
      <w:r w:rsidRPr="001B2B14">
        <w:rPr>
          <w:rFonts w:ascii="Tahoma" w:hAnsi="Tahoma" w:cs="Tahoma"/>
          <w:color w:val="000000"/>
          <w:sz w:val="20"/>
          <w:szCs w:val="20"/>
          <w:lang w:eastAsia="el-GR"/>
        </w:rPr>
        <w:t>Ο/Η ΝΟΜΙΜΟΣ/Η  ΕΚΠΡΟΣΩΠΟΣ</w:t>
      </w:r>
    </w:p>
    <w:p w:rsidR="00E70C14" w:rsidRPr="001B2B14" w:rsidRDefault="00E70C14" w:rsidP="00E70C14">
      <w:pPr>
        <w:suppressAutoHyphens w:val="0"/>
        <w:spacing w:after="120"/>
        <w:ind w:right="-99"/>
        <w:contextualSpacing/>
        <w:jc w:val="center"/>
        <w:rPr>
          <w:rFonts w:ascii="Tahoma" w:hAnsi="Tahoma" w:cs="Tahoma"/>
          <w:i/>
          <w:sz w:val="20"/>
          <w:szCs w:val="20"/>
        </w:rPr>
      </w:pPr>
    </w:p>
    <w:p w:rsidR="00E70C14" w:rsidRPr="001B2B14" w:rsidRDefault="00E70C14" w:rsidP="00E70C14">
      <w:pPr>
        <w:suppressAutoHyphens w:val="0"/>
        <w:spacing w:after="120"/>
        <w:ind w:right="-99"/>
        <w:contextualSpacing/>
        <w:jc w:val="center"/>
        <w:rPr>
          <w:rFonts w:ascii="Tahoma" w:hAnsi="Tahoma" w:cs="Tahoma"/>
          <w:i/>
          <w:sz w:val="20"/>
          <w:szCs w:val="20"/>
        </w:rPr>
      </w:pPr>
    </w:p>
    <w:p w:rsidR="00E70C14" w:rsidRPr="001B2B14" w:rsidRDefault="00E70C14" w:rsidP="00E70C14">
      <w:pPr>
        <w:suppressAutoHyphens w:val="0"/>
        <w:spacing w:after="120"/>
        <w:ind w:right="-99"/>
        <w:contextualSpacing/>
        <w:jc w:val="center"/>
        <w:rPr>
          <w:rFonts w:ascii="Tahoma" w:hAnsi="Tahoma" w:cs="Tahoma"/>
          <w:i/>
          <w:sz w:val="20"/>
          <w:szCs w:val="20"/>
        </w:rPr>
      </w:pPr>
    </w:p>
    <w:p w:rsidR="00E70C14" w:rsidRPr="001B2B14" w:rsidRDefault="00E70C14" w:rsidP="00E70C14">
      <w:pPr>
        <w:suppressAutoHyphens w:val="0"/>
        <w:spacing w:after="120"/>
        <w:ind w:right="-99"/>
        <w:contextualSpacing/>
        <w:jc w:val="center"/>
        <w:rPr>
          <w:rFonts w:ascii="Tahoma" w:hAnsi="Tahoma" w:cs="Tahoma"/>
          <w:i/>
          <w:sz w:val="20"/>
          <w:szCs w:val="20"/>
        </w:rPr>
      </w:pPr>
      <w:r w:rsidRPr="001B2B14">
        <w:rPr>
          <w:rFonts w:ascii="Tahoma" w:hAnsi="Tahoma" w:cs="Tahoma"/>
          <w:i/>
          <w:sz w:val="20"/>
          <w:szCs w:val="20"/>
        </w:rPr>
        <w:t>(Υπογραφή και σφραγίδα)</w:t>
      </w:r>
    </w:p>
    <w:p w:rsidR="00E70C14" w:rsidRPr="001B2B14" w:rsidRDefault="00E70C14" w:rsidP="00E70C14">
      <w:pPr>
        <w:suppressAutoHyphens w:val="0"/>
        <w:spacing w:after="160" w:line="259" w:lineRule="auto"/>
        <w:rPr>
          <w:rFonts w:ascii="Tahoma" w:hAnsi="Tahoma" w:cs="Tahoma"/>
          <w:b/>
          <w:bCs/>
          <w:sz w:val="20"/>
          <w:szCs w:val="20"/>
          <w:lang w:eastAsia="el-GR"/>
        </w:rPr>
      </w:pPr>
    </w:p>
    <w:p w:rsidR="003258F5" w:rsidRPr="00E70C14" w:rsidRDefault="003258F5" w:rsidP="00E70C14">
      <w:bookmarkStart w:id="0" w:name="_GoBack"/>
      <w:bookmarkEnd w:id="0"/>
    </w:p>
    <w:sectPr w:rsidR="003258F5" w:rsidRPr="00E70C14" w:rsidSect="00031F8D">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E90" w:rsidRDefault="00026E90" w:rsidP="00A97A65">
      <w:r>
        <w:separator/>
      </w:r>
    </w:p>
  </w:endnote>
  <w:endnote w:type="continuationSeparator" w:id="0">
    <w:p w:rsidR="00026E90" w:rsidRDefault="00026E90"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tka Text">
    <w:panose1 w:val="02000505000000020004"/>
    <w:charset w:val="A1"/>
    <w:family w:val="auto"/>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rsidR="00026E90" w:rsidRDefault="00026E90">
        <w:pPr>
          <w:pStyle w:val="a7"/>
          <w:jc w:val="center"/>
        </w:pPr>
        <w:r>
          <w:fldChar w:fldCharType="begin"/>
        </w:r>
        <w:r>
          <w:instrText>PAGE   \* MERGEFORMAT</w:instrText>
        </w:r>
        <w:r>
          <w:fldChar w:fldCharType="separate"/>
        </w:r>
        <w:r w:rsidR="00E70C14" w:rsidRPr="00E70C14">
          <w:rPr>
            <w:noProof/>
            <w:lang w:val="el-GR"/>
          </w:rPr>
          <w:t>1</w:t>
        </w:r>
        <w:r>
          <w:fldChar w:fldCharType="end"/>
        </w:r>
      </w:p>
    </w:sdtContent>
  </w:sdt>
  <w:p w:rsidR="00026E90" w:rsidRDefault="00026E90">
    <w:pPr>
      <w:pStyle w:val="a7"/>
    </w:pPr>
  </w:p>
  <w:p w:rsidR="00026E90" w:rsidRDefault="00026E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E90" w:rsidRDefault="00026E90" w:rsidP="00A97A65">
      <w:r>
        <w:separator/>
      </w:r>
    </w:p>
  </w:footnote>
  <w:footnote w:type="continuationSeparator" w:id="0">
    <w:p w:rsidR="00026E90" w:rsidRDefault="00026E90" w:rsidP="00A97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1082A"/>
    <w:multiLevelType w:val="hybridMultilevel"/>
    <w:tmpl w:val="24DEA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F60EB0"/>
    <w:multiLevelType w:val="hybridMultilevel"/>
    <w:tmpl w:val="6B02CD24"/>
    <w:lvl w:ilvl="0" w:tplc="0408000F">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C12C76"/>
    <w:multiLevelType w:val="hybridMultilevel"/>
    <w:tmpl w:val="6A50043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790422"/>
    <w:multiLevelType w:val="hybridMultilevel"/>
    <w:tmpl w:val="7C9A9B2C"/>
    <w:lvl w:ilvl="0" w:tplc="D9BC9F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7E6E0B"/>
    <w:multiLevelType w:val="hybridMultilevel"/>
    <w:tmpl w:val="24DEA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EA16632"/>
    <w:multiLevelType w:val="hybridMultilevel"/>
    <w:tmpl w:val="30B60EBE"/>
    <w:lvl w:ilvl="0" w:tplc="5106E1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5"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5"/>
  </w:num>
  <w:num w:numId="4">
    <w:abstractNumId w:val="12"/>
  </w:num>
  <w:num w:numId="5">
    <w:abstractNumId w:val="34"/>
  </w:num>
  <w:num w:numId="6">
    <w:abstractNumId w:val="7"/>
  </w:num>
  <w:num w:numId="7">
    <w:abstractNumId w:val="21"/>
  </w:num>
  <w:num w:numId="8">
    <w:abstractNumId w:val="4"/>
  </w:num>
  <w:num w:numId="9">
    <w:abstractNumId w:val="3"/>
  </w:num>
  <w:num w:numId="10">
    <w:abstractNumId w:val="36"/>
  </w:num>
  <w:num w:numId="11">
    <w:abstractNumId w:val="29"/>
  </w:num>
  <w:num w:numId="12">
    <w:abstractNumId w:val="5"/>
  </w:num>
  <w:num w:numId="13">
    <w:abstractNumId w:val="22"/>
  </w:num>
  <w:num w:numId="14">
    <w:abstractNumId w:val="20"/>
  </w:num>
  <w:num w:numId="15">
    <w:abstractNumId w:val="10"/>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1"/>
  </w:num>
  <w:num w:numId="20">
    <w:abstractNumId w:val="14"/>
  </w:num>
  <w:num w:numId="21">
    <w:abstractNumId w:val="31"/>
  </w:num>
  <w:num w:numId="22">
    <w:abstractNumId w:val="2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6"/>
  </w:num>
  <w:num w:numId="33">
    <w:abstractNumId w:val="26"/>
  </w:num>
  <w:num w:numId="34">
    <w:abstractNumId w:val="19"/>
  </w:num>
  <w:num w:numId="35">
    <w:abstractNumId w:val="9"/>
  </w:num>
  <w:num w:numId="36">
    <w:abstractNumId w:val="6"/>
  </w:num>
  <w:num w:numId="37">
    <w:abstractNumId w:val="17"/>
  </w:num>
  <w:num w:numId="38">
    <w:abstractNumId w:val="35"/>
  </w:num>
  <w:num w:numId="39">
    <w:abstractNumId w:val="15"/>
  </w:num>
  <w:num w:numId="40">
    <w:abstractNumId w:val="33"/>
  </w:num>
  <w:num w:numId="41">
    <w:abstractNumId w:val="13"/>
  </w:num>
  <w:num w:numId="42">
    <w:abstractNumId w:val="3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5F"/>
    <w:rsid w:val="00002167"/>
    <w:rsid w:val="000035E3"/>
    <w:rsid w:val="00006F48"/>
    <w:rsid w:val="000076B5"/>
    <w:rsid w:val="00020503"/>
    <w:rsid w:val="00024C22"/>
    <w:rsid w:val="00026E90"/>
    <w:rsid w:val="00031F8D"/>
    <w:rsid w:val="00033A4B"/>
    <w:rsid w:val="000420C2"/>
    <w:rsid w:val="000968DD"/>
    <w:rsid w:val="000B5B80"/>
    <w:rsid w:val="000C51FB"/>
    <w:rsid w:val="000D2EE4"/>
    <w:rsid w:val="000D36ED"/>
    <w:rsid w:val="000D7F08"/>
    <w:rsid w:val="000E758B"/>
    <w:rsid w:val="00102CAE"/>
    <w:rsid w:val="00114210"/>
    <w:rsid w:val="00121AAC"/>
    <w:rsid w:val="00123D8D"/>
    <w:rsid w:val="00143E9D"/>
    <w:rsid w:val="00146F5B"/>
    <w:rsid w:val="00150B88"/>
    <w:rsid w:val="00155E77"/>
    <w:rsid w:val="001604AD"/>
    <w:rsid w:val="001604D8"/>
    <w:rsid w:val="001617C3"/>
    <w:rsid w:val="00165CFF"/>
    <w:rsid w:val="00174550"/>
    <w:rsid w:val="00175C51"/>
    <w:rsid w:val="00183A9C"/>
    <w:rsid w:val="00185369"/>
    <w:rsid w:val="001877D7"/>
    <w:rsid w:val="001879BC"/>
    <w:rsid w:val="001957AE"/>
    <w:rsid w:val="001A130A"/>
    <w:rsid w:val="001C15BC"/>
    <w:rsid w:val="001C4684"/>
    <w:rsid w:val="001C7BD1"/>
    <w:rsid w:val="001D074D"/>
    <w:rsid w:val="001D6FF7"/>
    <w:rsid w:val="001F29C0"/>
    <w:rsid w:val="001F35F8"/>
    <w:rsid w:val="0020508E"/>
    <w:rsid w:val="00222119"/>
    <w:rsid w:val="002366BA"/>
    <w:rsid w:val="0024068E"/>
    <w:rsid w:val="00265FD5"/>
    <w:rsid w:val="0026640B"/>
    <w:rsid w:val="002664E9"/>
    <w:rsid w:val="00283647"/>
    <w:rsid w:val="0029089C"/>
    <w:rsid w:val="00295BF7"/>
    <w:rsid w:val="002B1705"/>
    <w:rsid w:val="002B31DF"/>
    <w:rsid w:val="002C45DA"/>
    <w:rsid w:val="002C5817"/>
    <w:rsid w:val="002C6DD1"/>
    <w:rsid w:val="002D3C4A"/>
    <w:rsid w:val="002E18F7"/>
    <w:rsid w:val="002E457A"/>
    <w:rsid w:val="002E7481"/>
    <w:rsid w:val="00307542"/>
    <w:rsid w:val="00313F96"/>
    <w:rsid w:val="00322D61"/>
    <w:rsid w:val="003258F5"/>
    <w:rsid w:val="003264ED"/>
    <w:rsid w:val="003748E6"/>
    <w:rsid w:val="00374ACE"/>
    <w:rsid w:val="003917C1"/>
    <w:rsid w:val="0039549B"/>
    <w:rsid w:val="003A215B"/>
    <w:rsid w:val="003A3523"/>
    <w:rsid w:val="003B63AB"/>
    <w:rsid w:val="003C1004"/>
    <w:rsid w:val="003C444E"/>
    <w:rsid w:val="003C6137"/>
    <w:rsid w:val="003D6483"/>
    <w:rsid w:val="003F4CEB"/>
    <w:rsid w:val="003F6042"/>
    <w:rsid w:val="00402C71"/>
    <w:rsid w:val="00402CB9"/>
    <w:rsid w:val="00405079"/>
    <w:rsid w:val="004121E6"/>
    <w:rsid w:val="00414D9B"/>
    <w:rsid w:val="00435BBA"/>
    <w:rsid w:val="00455C2D"/>
    <w:rsid w:val="00464AAE"/>
    <w:rsid w:val="00467986"/>
    <w:rsid w:val="0047423D"/>
    <w:rsid w:val="00481C01"/>
    <w:rsid w:val="004A4806"/>
    <w:rsid w:val="004B0554"/>
    <w:rsid w:val="004B1533"/>
    <w:rsid w:val="004B26F8"/>
    <w:rsid w:val="004D68BE"/>
    <w:rsid w:val="004D766A"/>
    <w:rsid w:val="004E5586"/>
    <w:rsid w:val="004F4A5E"/>
    <w:rsid w:val="004F5E57"/>
    <w:rsid w:val="0050652E"/>
    <w:rsid w:val="00506BCD"/>
    <w:rsid w:val="005075B6"/>
    <w:rsid w:val="00533D51"/>
    <w:rsid w:val="00535EA5"/>
    <w:rsid w:val="005436AB"/>
    <w:rsid w:val="00545674"/>
    <w:rsid w:val="00554E6F"/>
    <w:rsid w:val="005618FE"/>
    <w:rsid w:val="005743A7"/>
    <w:rsid w:val="00577AF6"/>
    <w:rsid w:val="00593E3F"/>
    <w:rsid w:val="00596FBD"/>
    <w:rsid w:val="005A0A55"/>
    <w:rsid w:val="005A6B1F"/>
    <w:rsid w:val="005B1004"/>
    <w:rsid w:val="005B33D5"/>
    <w:rsid w:val="005B4EF8"/>
    <w:rsid w:val="005B576D"/>
    <w:rsid w:val="005C322F"/>
    <w:rsid w:val="005D18DC"/>
    <w:rsid w:val="006019F2"/>
    <w:rsid w:val="006112FA"/>
    <w:rsid w:val="00636AE8"/>
    <w:rsid w:val="00663B74"/>
    <w:rsid w:val="0066721D"/>
    <w:rsid w:val="006951E3"/>
    <w:rsid w:val="006A04DA"/>
    <w:rsid w:val="006A7A1C"/>
    <w:rsid w:val="006B50E4"/>
    <w:rsid w:val="006C4AA8"/>
    <w:rsid w:val="006D5773"/>
    <w:rsid w:val="006D68AA"/>
    <w:rsid w:val="006D6D5E"/>
    <w:rsid w:val="0070445D"/>
    <w:rsid w:val="007078EA"/>
    <w:rsid w:val="0071259D"/>
    <w:rsid w:val="00733BA5"/>
    <w:rsid w:val="007471FE"/>
    <w:rsid w:val="00752D12"/>
    <w:rsid w:val="00755296"/>
    <w:rsid w:val="007606C1"/>
    <w:rsid w:val="007620B5"/>
    <w:rsid w:val="00765EB9"/>
    <w:rsid w:val="00766278"/>
    <w:rsid w:val="007854AA"/>
    <w:rsid w:val="00794470"/>
    <w:rsid w:val="007A1AA9"/>
    <w:rsid w:val="007A60DB"/>
    <w:rsid w:val="007B1CDA"/>
    <w:rsid w:val="007B1D58"/>
    <w:rsid w:val="007B268E"/>
    <w:rsid w:val="007B45C1"/>
    <w:rsid w:val="007C491A"/>
    <w:rsid w:val="007D560D"/>
    <w:rsid w:val="007E14CA"/>
    <w:rsid w:val="007F7A0D"/>
    <w:rsid w:val="00806BD4"/>
    <w:rsid w:val="00817422"/>
    <w:rsid w:val="0082555B"/>
    <w:rsid w:val="00892F1B"/>
    <w:rsid w:val="00896372"/>
    <w:rsid w:val="008A1C13"/>
    <w:rsid w:val="008A1CBF"/>
    <w:rsid w:val="008B79B8"/>
    <w:rsid w:val="008C2A72"/>
    <w:rsid w:val="008D0A3E"/>
    <w:rsid w:val="008D144F"/>
    <w:rsid w:val="008D284F"/>
    <w:rsid w:val="008D3AD9"/>
    <w:rsid w:val="008E14BE"/>
    <w:rsid w:val="008E703E"/>
    <w:rsid w:val="008F2981"/>
    <w:rsid w:val="008F6471"/>
    <w:rsid w:val="008F6FD8"/>
    <w:rsid w:val="00914D74"/>
    <w:rsid w:val="009167FB"/>
    <w:rsid w:val="00923A03"/>
    <w:rsid w:val="0093043E"/>
    <w:rsid w:val="00930C5B"/>
    <w:rsid w:val="009330C0"/>
    <w:rsid w:val="009374B2"/>
    <w:rsid w:val="009454B0"/>
    <w:rsid w:val="00950186"/>
    <w:rsid w:val="009560A4"/>
    <w:rsid w:val="00972CDD"/>
    <w:rsid w:val="0097421C"/>
    <w:rsid w:val="009863BE"/>
    <w:rsid w:val="009874BA"/>
    <w:rsid w:val="009A10E1"/>
    <w:rsid w:val="009B2ED7"/>
    <w:rsid w:val="009C0039"/>
    <w:rsid w:val="009C7729"/>
    <w:rsid w:val="009D37F3"/>
    <w:rsid w:val="009E6E6C"/>
    <w:rsid w:val="009F1595"/>
    <w:rsid w:val="009F2E12"/>
    <w:rsid w:val="009F2F6B"/>
    <w:rsid w:val="00A021DB"/>
    <w:rsid w:val="00A11A65"/>
    <w:rsid w:val="00A11AC5"/>
    <w:rsid w:val="00A1252C"/>
    <w:rsid w:val="00A15123"/>
    <w:rsid w:val="00A152FA"/>
    <w:rsid w:val="00A16730"/>
    <w:rsid w:val="00A16E64"/>
    <w:rsid w:val="00A20D4D"/>
    <w:rsid w:val="00A36CA4"/>
    <w:rsid w:val="00A37D86"/>
    <w:rsid w:val="00A44553"/>
    <w:rsid w:val="00A47007"/>
    <w:rsid w:val="00A524C3"/>
    <w:rsid w:val="00A5493A"/>
    <w:rsid w:val="00A65115"/>
    <w:rsid w:val="00A71938"/>
    <w:rsid w:val="00A807B5"/>
    <w:rsid w:val="00A808D6"/>
    <w:rsid w:val="00A875C8"/>
    <w:rsid w:val="00A936EA"/>
    <w:rsid w:val="00A9500C"/>
    <w:rsid w:val="00A97A65"/>
    <w:rsid w:val="00AB1358"/>
    <w:rsid w:val="00AC1E44"/>
    <w:rsid w:val="00AC27CB"/>
    <w:rsid w:val="00AC43E8"/>
    <w:rsid w:val="00AD4E0A"/>
    <w:rsid w:val="00AE4930"/>
    <w:rsid w:val="00AF127D"/>
    <w:rsid w:val="00AF1B1C"/>
    <w:rsid w:val="00AF271D"/>
    <w:rsid w:val="00AF2C6D"/>
    <w:rsid w:val="00AF50BB"/>
    <w:rsid w:val="00AF62E7"/>
    <w:rsid w:val="00B00E45"/>
    <w:rsid w:val="00B011D7"/>
    <w:rsid w:val="00B022BA"/>
    <w:rsid w:val="00B02FEF"/>
    <w:rsid w:val="00B03886"/>
    <w:rsid w:val="00B03D72"/>
    <w:rsid w:val="00B0742C"/>
    <w:rsid w:val="00B0779A"/>
    <w:rsid w:val="00B158C8"/>
    <w:rsid w:val="00B33E23"/>
    <w:rsid w:val="00B34D9B"/>
    <w:rsid w:val="00B35BD0"/>
    <w:rsid w:val="00B5253B"/>
    <w:rsid w:val="00B55818"/>
    <w:rsid w:val="00B65BB0"/>
    <w:rsid w:val="00B71F5F"/>
    <w:rsid w:val="00B7521F"/>
    <w:rsid w:val="00B827FD"/>
    <w:rsid w:val="00B828F7"/>
    <w:rsid w:val="00B83483"/>
    <w:rsid w:val="00B86D4A"/>
    <w:rsid w:val="00B92026"/>
    <w:rsid w:val="00B96794"/>
    <w:rsid w:val="00BA6EEF"/>
    <w:rsid w:val="00BB1A95"/>
    <w:rsid w:val="00BC036F"/>
    <w:rsid w:val="00BD0140"/>
    <w:rsid w:val="00BD3DA0"/>
    <w:rsid w:val="00BD7579"/>
    <w:rsid w:val="00BE0D34"/>
    <w:rsid w:val="00BE5255"/>
    <w:rsid w:val="00C1249C"/>
    <w:rsid w:val="00C22446"/>
    <w:rsid w:val="00C36D5F"/>
    <w:rsid w:val="00C4263A"/>
    <w:rsid w:val="00C600DC"/>
    <w:rsid w:val="00C71467"/>
    <w:rsid w:val="00C71ECA"/>
    <w:rsid w:val="00C804FC"/>
    <w:rsid w:val="00C81457"/>
    <w:rsid w:val="00C834A0"/>
    <w:rsid w:val="00C91B10"/>
    <w:rsid w:val="00CA4B6D"/>
    <w:rsid w:val="00CC35A2"/>
    <w:rsid w:val="00CC43C0"/>
    <w:rsid w:val="00CD153B"/>
    <w:rsid w:val="00CD4601"/>
    <w:rsid w:val="00CD5324"/>
    <w:rsid w:val="00CE53AD"/>
    <w:rsid w:val="00CF0971"/>
    <w:rsid w:val="00CF2C7C"/>
    <w:rsid w:val="00CF4F2C"/>
    <w:rsid w:val="00CF7285"/>
    <w:rsid w:val="00CF7B69"/>
    <w:rsid w:val="00D04F2D"/>
    <w:rsid w:val="00D05956"/>
    <w:rsid w:val="00D06756"/>
    <w:rsid w:val="00D10A5F"/>
    <w:rsid w:val="00D248AE"/>
    <w:rsid w:val="00D269EA"/>
    <w:rsid w:val="00D35064"/>
    <w:rsid w:val="00D44836"/>
    <w:rsid w:val="00D53983"/>
    <w:rsid w:val="00D578E1"/>
    <w:rsid w:val="00D6648B"/>
    <w:rsid w:val="00D73BC3"/>
    <w:rsid w:val="00D8314C"/>
    <w:rsid w:val="00D8462F"/>
    <w:rsid w:val="00DB12CF"/>
    <w:rsid w:val="00DB1DD3"/>
    <w:rsid w:val="00DB46BA"/>
    <w:rsid w:val="00DB4F71"/>
    <w:rsid w:val="00DC7B2F"/>
    <w:rsid w:val="00DE61EF"/>
    <w:rsid w:val="00DF6CB6"/>
    <w:rsid w:val="00E06A37"/>
    <w:rsid w:val="00E156A3"/>
    <w:rsid w:val="00E22EF1"/>
    <w:rsid w:val="00E2421D"/>
    <w:rsid w:val="00E35617"/>
    <w:rsid w:val="00E36043"/>
    <w:rsid w:val="00E52230"/>
    <w:rsid w:val="00E61DC3"/>
    <w:rsid w:val="00E648E6"/>
    <w:rsid w:val="00E65BD4"/>
    <w:rsid w:val="00E70C14"/>
    <w:rsid w:val="00E71211"/>
    <w:rsid w:val="00E8239B"/>
    <w:rsid w:val="00E824A8"/>
    <w:rsid w:val="00E929C2"/>
    <w:rsid w:val="00E97D58"/>
    <w:rsid w:val="00EA3BA5"/>
    <w:rsid w:val="00EA4F64"/>
    <w:rsid w:val="00EB024A"/>
    <w:rsid w:val="00EC0E0C"/>
    <w:rsid w:val="00EC1649"/>
    <w:rsid w:val="00ED118D"/>
    <w:rsid w:val="00EF1993"/>
    <w:rsid w:val="00F22ACD"/>
    <w:rsid w:val="00F377E3"/>
    <w:rsid w:val="00F577E2"/>
    <w:rsid w:val="00F755C4"/>
    <w:rsid w:val="00F80734"/>
    <w:rsid w:val="00F929DA"/>
    <w:rsid w:val="00F93905"/>
    <w:rsid w:val="00F96746"/>
    <w:rsid w:val="00F97C52"/>
    <w:rsid w:val="00FB644E"/>
    <w:rsid w:val="00FC46CA"/>
    <w:rsid w:val="00FC664D"/>
    <w:rsid w:val="00FD6DCF"/>
    <w:rsid w:val="00FE0DE5"/>
    <w:rsid w:val="00FF15E1"/>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1A16-4673-4EF4-B792-2B81B1F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0">
    <w:name w:val="Παραπομπή υποσημείωσης_0"/>
    <w:uiPriority w:val="99"/>
    <w:rsid w:val="00FD6DCF"/>
    <w:rPr>
      <w:vertAlign w:val="superscript"/>
    </w:rPr>
  </w:style>
  <w:style w:type="paragraph" w:styleId="Web">
    <w:name w:val="Normal (Web)"/>
    <w:basedOn w:val="a"/>
    <w:uiPriority w:val="99"/>
    <w:semiHidden/>
    <w:unhideWhenUsed/>
    <w:rsid w:val="009863BE"/>
    <w:pPr>
      <w:suppressAutoHyphens w:val="0"/>
      <w:spacing w:before="100" w:beforeAutospacing="1" w:after="100" w:afterAutospacing="1"/>
    </w:pPr>
    <w:rPr>
      <w:lang w:eastAsia="el-GR"/>
    </w:rPr>
  </w:style>
  <w:style w:type="character" w:styleId="aa">
    <w:name w:val="footnote reference"/>
    <w:uiPriority w:val="99"/>
    <w:unhideWhenUsed/>
    <w:rsid w:val="00183A9C"/>
    <w:rPr>
      <w:vertAlign w:val="superscript"/>
    </w:rPr>
  </w:style>
  <w:style w:type="paragraph" w:styleId="ab">
    <w:name w:val="footnote text"/>
    <w:basedOn w:val="a"/>
    <w:link w:val="Char2"/>
    <w:uiPriority w:val="99"/>
    <w:semiHidden/>
    <w:unhideWhenUsed/>
    <w:rsid w:val="004E5586"/>
    <w:rPr>
      <w:sz w:val="20"/>
      <w:szCs w:val="20"/>
    </w:rPr>
  </w:style>
  <w:style w:type="character" w:customStyle="1" w:styleId="Char2">
    <w:name w:val="Κείμενο υποσημείωσης Char"/>
    <w:basedOn w:val="a0"/>
    <w:link w:val="ab"/>
    <w:uiPriority w:val="99"/>
    <w:semiHidden/>
    <w:rsid w:val="004E5586"/>
    <w:rPr>
      <w:rFonts w:ascii="Times New Roman" w:eastAsia="Times New Roman" w:hAnsi="Times New Roman" w:cs="Times New Roman"/>
      <w:sz w:val="20"/>
      <w:szCs w:val="20"/>
      <w:lang w:eastAsia="ar-SA"/>
    </w:rPr>
  </w:style>
  <w:style w:type="character" w:customStyle="1" w:styleId="ac">
    <w:name w:val="Σύμβολο υποσημείωσης"/>
    <w:rsid w:val="004E5586"/>
    <w:rPr>
      <w:vertAlign w:val="superscript"/>
    </w:rPr>
  </w:style>
  <w:style w:type="character" w:styleId="ad">
    <w:name w:val="Strong"/>
    <w:basedOn w:val="a0"/>
    <w:uiPriority w:val="22"/>
    <w:qFormat/>
    <w:rsid w:val="009167FB"/>
    <w:rPr>
      <w:b/>
      <w:bCs/>
    </w:rPr>
  </w:style>
  <w:style w:type="table" w:customStyle="1" w:styleId="4">
    <w:name w:val="Πλέγμα πίνακα4"/>
    <w:basedOn w:val="a1"/>
    <w:next w:val="a5"/>
    <w:uiPriority w:val="39"/>
    <w:rsid w:val="00E70C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859780109">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068959921">
      <w:bodyDiv w:val="1"/>
      <w:marLeft w:val="0"/>
      <w:marRight w:val="0"/>
      <w:marTop w:val="0"/>
      <w:marBottom w:val="0"/>
      <w:divBdr>
        <w:top w:val="none" w:sz="0" w:space="0" w:color="auto"/>
        <w:left w:val="none" w:sz="0" w:space="0" w:color="auto"/>
        <w:bottom w:val="none" w:sz="0" w:space="0" w:color="auto"/>
        <w:right w:val="none" w:sz="0" w:space="0" w:color="auto"/>
      </w:divBdr>
    </w:div>
    <w:div w:id="1148203933">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09806444">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 w:id="21271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5F2B-A8FE-4FB5-A55F-16B34C54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oy03</cp:lastModifiedBy>
  <cp:revision>16</cp:revision>
  <cp:lastPrinted>2023-05-30T10:22:00Z</cp:lastPrinted>
  <dcterms:created xsi:type="dcterms:W3CDTF">2023-08-11T06:13:00Z</dcterms:created>
  <dcterms:modified xsi:type="dcterms:W3CDTF">2025-06-02T09:16:00Z</dcterms:modified>
</cp:coreProperties>
</file>