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ΦΥΛΛΟ ΣΥΜΜΟΡΦΩΣΗΣ </w:t>
      </w:r>
    </w:p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04728C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4728C" w:rsidRDefault="0004728C" w:rsidP="0061473B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0C1B13" w:rsidRPr="000C1B13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61473B" w:rsidRDefault="0061473B" w:rsidP="0061473B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ΟΜΑΔΑ </w:t>
      </w:r>
      <w:r w:rsidR="00F150F6">
        <w:rPr>
          <w:rFonts w:ascii="Calibri" w:eastAsia="Times New Roman" w:hAnsi="Calibri" w:cs="Calibri"/>
          <w:b/>
          <w:sz w:val="24"/>
          <w:szCs w:val="24"/>
        </w:rPr>
        <w:t>3</w:t>
      </w:r>
    </w:p>
    <w:p w:rsidR="00F150F6" w:rsidRPr="00F150F6" w:rsidRDefault="00F150F6" w:rsidP="00F150F6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F150F6">
        <w:rPr>
          <w:rFonts w:ascii="Calibri" w:eastAsia="Times New Roman" w:hAnsi="Calibri" w:cs="Calibri"/>
          <w:b/>
          <w:sz w:val="24"/>
          <w:szCs w:val="24"/>
          <w:lang w:eastAsia="zh-CN"/>
        </w:rPr>
        <w:t>ΠΡΟΔΙΑΓΡΑΦΕΣ ΑΓΟΡΑΣ ΖΩΩΝ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70"/>
        <w:gridCol w:w="1684"/>
        <w:gridCol w:w="1867"/>
        <w:gridCol w:w="1380"/>
      </w:tblGrid>
      <w:tr w:rsidR="00F150F6" w:rsidRPr="00F150F6" w:rsidTr="004F6C3B">
        <w:trPr>
          <w:jc w:val="center"/>
        </w:trPr>
        <w:tc>
          <w:tcPr>
            <w:tcW w:w="636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Α/Α</w:t>
            </w:r>
          </w:p>
        </w:tc>
        <w:tc>
          <w:tcPr>
            <w:tcW w:w="4752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ΕΙΔΟΣ</w:t>
            </w:r>
          </w:p>
        </w:tc>
        <w:tc>
          <w:tcPr>
            <w:tcW w:w="1783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ΑΠΑΙΤΗΣΗ</w:t>
            </w:r>
          </w:p>
        </w:tc>
        <w:tc>
          <w:tcPr>
            <w:tcW w:w="1984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ΑΠΑΝΤΗΣΗ</w:t>
            </w:r>
          </w:p>
        </w:tc>
        <w:tc>
          <w:tcPr>
            <w:tcW w:w="769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ΠΑΡΑΠΟΜΠΗ</w:t>
            </w:r>
          </w:p>
        </w:tc>
      </w:tr>
      <w:tr w:rsidR="00F150F6" w:rsidRPr="00F150F6" w:rsidTr="004F6C3B">
        <w:trPr>
          <w:jc w:val="center"/>
        </w:trPr>
        <w:tc>
          <w:tcPr>
            <w:tcW w:w="636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F150F6" w:rsidRPr="00F150F6" w:rsidRDefault="00F150F6" w:rsidP="00F150F6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>Χειρομητέρες</w:t>
            </w:r>
            <w:proofErr w:type="spellEnd"/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>.</w:t>
            </w:r>
          </w:p>
          <w:p w:rsidR="00F150F6" w:rsidRPr="00F150F6" w:rsidRDefault="00F150F6" w:rsidP="00F150F6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</w:pPr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 xml:space="preserve">Αγορά 9 </w:t>
            </w:r>
            <w:proofErr w:type="spellStart"/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>παχυνόμενων</w:t>
            </w:r>
            <w:proofErr w:type="spellEnd"/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 xml:space="preserve"> χοίρων θηλυκών   ηλικίας  περίπου 5-6 μηνών.</w:t>
            </w:r>
          </w:p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Τα παραπάνω ζώα θα πρέπει να είναι φυλής 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val="en-US" w:eastAsia="zh-CN"/>
              </w:rPr>
              <w:t>Large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val="en-US" w:eastAsia="zh-CN"/>
              </w:rPr>
              <w:t>white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val="en-US" w:eastAsia="zh-CN"/>
              </w:rPr>
              <w:t>Langrace</w:t>
            </w:r>
            <w:proofErr w:type="spellEnd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  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val="en-US" w:eastAsia="zh-CN"/>
              </w:rPr>
              <w:t>F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1 γενεάς, η μονάδα να είναι απαλλαγμένη από  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val="en-US" w:eastAsia="zh-CN"/>
              </w:rPr>
              <w:t>PRRS</w:t>
            </w: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 &amp;  ΑΟΥΤΖΕΣΚΙ και η παράδοση των ζώων θα γίνεται από  προμηθευτή στον στάβλο του αγροκτήματος. Τα ζώα θα χρησιμοποιηθούν για την ανανέωση του ζωικού πληθυσμού του χοιροστασίου</w:t>
            </w:r>
          </w:p>
        </w:tc>
        <w:tc>
          <w:tcPr>
            <w:tcW w:w="1783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984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69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F150F6" w:rsidRPr="00F150F6" w:rsidTr="004F6C3B">
        <w:trPr>
          <w:jc w:val="center"/>
        </w:trPr>
        <w:tc>
          <w:tcPr>
            <w:tcW w:w="636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52" w:type="dxa"/>
            <w:shd w:val="clear" w:color="auto" w:fill="auto"/>
          </w:tcPr>
          <w:p w:rsidR="00F150F6" w:rsidRPr="00F150F6" w:rsidRDefault="00F150F6" w:rsidP="00F150F6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</w:pPr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 xml:space="preserve">Νέες </w:t>
            </w:r>
            <w:proofErr w:type="spellStart"/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>συές</w:t>
            </w:r>
            <w:proofErr w:type="spellEnd"/>
            <w:r w:rsidRPr="00F150F6">
              <w:rPr>
                <w:rFonts w:ascii="Calibri" w:eastAsia="SimSun" w:hAnsi="Calibri" w:cs="Calibri"/>
                <w:bCs/>
                <w:sz w:val="20"/>
                <w:szCs w:val="20"/>
                <w:lang w:eastAsia="zh-CN" w:bidi="hi-IN"/>
              </w:rPr>
              <w:t>.</w:t>
            </w:r>
          </w:p>
          <w:p w:rsidR="00F150F6" w:rsidRPr="00F150F6" w:rsidRDefault="00F150F6" w:rsidP="00F150F6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Αγορά 9 νεαρών </w:t>
            </w:r>
            <w:proofErr w:type="spellStart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συών</w:t>
            </w:r>
            <w:proofErr w:type="spellEnd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 αντικατάστασης ηλικίας περίπου 5-6,5 μηνών. Τα παραπάνω ζώα θα πρέπει να είναι φυλής </w:t>
            </w:r>
            <w:proofErr w:type="spellStart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Large</w:t>
            </w:r>
            <w:proofErr w:type="spellEnd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white</w:t>
            </w:r>
            <w:proofErr w:type="spellEnd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 x </w:t>
            </w:r>
            <w:proofErr w:type="spellStart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Landrance</w:t>
            </w:r>
            <w:proofErr w:type="spellEnd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 F1 γενιάς και να προέρχονται από μονάδα  απαλλαγμένη από PRRS και </w:t>
            </w:r>
            <w:proofErr w:type="spellStart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Aujesky</w:t>
            </w:r>
            <w:proofErr w:type="spellEnd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 xml:space="preserve">.  Η παράδοση των ζώων θα γίνει από τον προμηθευτή στον στάβλο του αγροκτήματος στις εγκαταστάσεις του </w:t>
            </w:r>
            <w:proofErr w:type="spellStart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Γαιόπολις</w:t>
            </w:r>
            <w:proofErr w:type="spellEnd"/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. Τα παραπάνω ζώα θα χρησιμοποιηθούν για την ανανέωση του ζωικού πληθυσμού του χοιροστασίου του αγροκτήματος.</w:t>
            </w:r>
          </w:p>
          <w:p w:rsidR="00F150F6" w:rsidRPr="00F150F6" w:rsidRDefault="00F150F6" w:rsidP="00F150F6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83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984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69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</w:tbl>
    <w:p w:rsidR="00F150F6" w:rsidRPr="00F150F6" w:rsidRDefault="00F150F6" w:rsidP="00F150F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F150F6" w:rsidRPr="00F150F6" w:rsidRDefault="00F150F6" w:rsidP="00F150F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F150F6">
        <w:rPr>
          <w:rFonts w:ascii="Calibri" w:eastAsia="Times New Roman" w:hAnsi="Calibri" w:cs="Calibri"/>
          <w:b/>
          <w:sz w:val="24"/>
          <w:szCs w:val="24"/>
          <w:lang w:eastAsia="zh-CN"/>
        </w:rPr>
        <w:t>ΓΕΝΙΚΟΙ ΟΡΟΙ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264"/>
        <w:gridCol w:w="1692"/>
        <w:gridCol w:w="1876"/>
        <w:gridCol w:w="1467"/>
      </w:tblGrid>
      <w:tr w:rsidR="00F150F6" w:rsidRPr="00F150F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264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1692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ΑΠΑΙΤΗΣΗ</w:t>
            </w:r>
          </w:p>
        </w:tc>
        <w:tc>
          <w:tcPr>
            <w:tcW w:w="1876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1467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F150F6" w:rsidRPr="00F150F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F150F6" w:rsidRPr="00F150F6" w:rsidRDefault="00F150F6" w:rsidP="00F150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Η παράδοση και η αποθήκευση θα γίνεται από τον προμηθευτή στις αποθήκες του Αγροκτήματος.</w:t>
            </w:r>
          </w:p>
        </w:tc>
        <w:tc>
          <w:tcPr>
            <w:tcW w:w="1692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F150F6" w:rsidRPr="00F150F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Η παράδοση των προϊόντων θα γίνεται τμηματικά κατόπιν συνεννόησης με την Υπηρεσία Αγροκτήματος</w:t>
            </w:r>
            <w:r w:rsidRPr="00F150F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από την υπογραφή της σύμβασης και για ένα έτος</w:t>
            </w:r>
          </w:p>
        </w:tc>
        <w:tc>
          <w:tcPr>
            <w:tcW w:w="1692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C0736A" w:rsidRPr="00F150F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C0736A" w:rsidRPr="00C0736A" w:rsidRDefault="00C0736A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C0736A" w:rsidRPr="00F150F6" w:rsidRDefault="00C0736A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</w:pPr>
            <w:r w:rsidRPr="00C0736A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Μπορεί να γίνει αυξομείωση των ποσοτήτων χωρίς υπέρβαση του προϋπολογισμού της συγκεκριμένης ομάδας</w:t>
            </w:r>
          </w:p>
        </w:tc>
        <w:tc>
          <w:tcPr>
            <w:tcW w:w="1692" w:type="dxa"/>
            <w:shd w:val="clear" w:color="auto" w:fill="auto"/>
          </w:tcPr>
          <w:p w:rsidR="00C0736A" w:rsidRPr="00C0736A" w:rsidRDefault="00C0736A" w:rsidP="00F150F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C0736A" w:rsidRPr="00C0736A" w:rsidRDefault="00C0736A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C0736A" w:rsidRPr="00C0736A" w:rsidRDefault="00C0736A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F150F6" w:rsidRPr="00F150F6" w:rsidTr="004F6C3B">
        <w:trPr>
          <w:jc w:val="center"/>
        </w:trPr>
        <w:tc>
          <w:tcPr>
            <w:tcW w:w="625" w:type="dxa"/>
            <w:shd w:val="clear" w:color="auto" w:fill="auto"/>
          </w:tcPr>
          <w:p w:rsidR="00F150F6" w:rsidRPr="00C0736A" w:rsidRDefault="00C0736A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F150F6" w:rsidRPr="00F150F6" w:rsidRDefault="00F150F6" w:rsidP="00F150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F150F6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Κάθε παράδοση παραγγελίας θα συνοδεύεται από έγγραφη βεβαίωση του προμηθευτή με υπεύθυνη δήλωση του Ν.1599/1986 ότι ισχύουν όλα τα ανωτέρω.</w:t>
            </w:r>
          </w:p>
        </w:tc>
        <w:tc>
          <w:tcPr>
            <w:tcW w:w="1692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F150F6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F150F6" w:rsidRPr="00F150F6" w:rsidRDefault="00F150F6" w:rsidP="00F150F6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F150F6" w:rsidRPr="00F150F6" w:rsidRDefault="00F150F6" w:rsidP="00F150F6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F150F6" w:rsidRPr="00F150F6" w:rsidRDefault="00F150F6" w:rsidP="00F150F6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F150F6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Ο ΣΥΜΜΕΤΕΧΩΝ </w:t>
      </w:r>
    </w:p>
    <w:p w:rsidR="00F150F6" w:rsidRPr="0004728C" w:rsidRDefault="00F150F6" w:rsidP="00F150F6">
      <w:pPr>
        <w:suppressAutoHyphens/>
        <w:spacing w:after="0" w:line="240" w:lineRule="auto"/>
        <w:ind w:left="6480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F150F6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</w:t>
      </w:r>
      <w:r w:rsidR="0022741D" w:rsidRPr="0022741D">
        <w:rPr>
          <w:rFonts w:ascii="Calibri" w:eastAsia="Times New Roman" w:hAnsi="Calibri" w:cs="Calibri"/>
          <w:b/>
          <w:sz w:val="24"/>
          <w:szCs w:val="24"/>
          <w:lang w:eastAsia="zh-CN"/>
        </w:rPr>
        <w:t>(ΥΠΟΓΡΑΦΗ ΚΑΙ ΣΦΡΑΓΙΔΑ)</w:t>
      </w:r>
    </w:p>
    <w:sectPr w:rsidR="00F150F6" w:rsidRPr="0004728C" w:rsidSect="00B25114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A1"/>
    <w:rsid w:val="00022C94"/>
    <w:rsid w:val="0004728C"/>
    <w:rsid w:val="000C1B13"/>
    <w:rsid w:val="0022741D"/>
    <w:rsid w:val="0061473B"/>
    <w:rsid w:val="008148A1"/>
    <w:rsid w:val="00B25114"/>
    <w:rsid w:val="00C0736A"/>
    <w:rsid w:val="00E90B5C"/>
    <w:rsid w:val="00F150F6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FC0F-FE7A-4780-84B5-5B3AA06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9</cp:revision>
  <dcterms:created xsi:type="dcterms:W3CDTF">2020-12-18T10:50:00Z</dcterms:created>
  <dcterms:modified xsi:type="dcterms:W3CDTF">2020-12-31T08:17:00Z</dcterms:modified>
</cp:coreProperties>
</file>