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8C" w:rsidRDefault="0004728C" w:rsidP="0004728C">
      <w:pPr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04728C">
        <w:rPr>
          <w:rFonts w:ascii="Calibri" w:eastAsia="Times New Roman" w:hAnsi="Calibri" w:cs="Calibri"/>
          <w:b/>
          <w:sz w:val="24"/>
          <w:szCs w:val="24"/>
        </w:rPr>
        <w:t xml:space="preserve">ΦΥΛΛΟ ΣΥΜΜΟΡΦΩΣΗΣ </w:t>
      </w:r>
    </w:p>
    <w:p w:rsidR="0004728C" w:rsidRDefault="0004728C" w:rsidP="0004728C">
      <w:pPr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04728C" w:rsidRPr="0004728C" w:rsidRDefault="0004728C" w:rsidP="0004728C">
      <w:pPr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b/>
          <w:sz w:val="24"/>
          <w:szCs w:val="24"/>
          <w:lang w:val="en-US" w:eastAsia="zh-CN"/>
        </w:rPr>
        <w:t>TOY</w:t>
      </w:r>
      <w:r w:rsidRPr="0004728C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……………………………………………..………….</w:t>
      </w:r>
    </w:p>
    <w:p w:rsidR="0004728C" w:rsidRPr="0004728C" w:rsidRDefault="0004728C" w:rsidP="0004728C">
      <w:pPr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sz w:val="24"/>
          <w:szCs w:val="24"/>
          <w:lang w:eastAsia="zh-CN"/>
        </w:rPr>
        <w:t>(</w:t>
      </w:r>
      <w:r w:rsidRPr="0004728C">
        <w:rPr>
          <w:rFonts w:ascii="Calibri" w:eastAsia="Times New Roman" w:hAnsi="Calibri" w:cs="Calibri"/>
          <w:i/>
          <w:sz w:val="24"/>
          <w:szCs w:val="24"/>
          <w:lang w:eastAsia="zh-CN"/>
        </w:rPr>
        <w:t>επωνυμία οικονομικού φορέα</w:t>
      </w:r>
      <w:r w:rsidRPr="0004728C">
        <w:rPr>
          <w:rFonts w:ascii="Calibri" w:eastAsia="Times New Roman" w:hAnsi="Calibri" w:cs="Calibri"/>
          <w:sz w:val="24"/>
          <w:szCs w:val="24"/>
          <w:lang w:eastAsia="zh-CN"/>
        </w:rPr>
        <w:t>)</w:t>
      </w:r>
    </w:p>
    <w:p w:rsidR="0004728C" w:rsidRDefault="0004728C" w:rsidP="0004728C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04728C" w:rsidRPr="0004728C" w:rsidRDefault="0004728C" w:rsidP="0004728C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ΓΙΑ TΟN ΔΙΑΓΩΝΙΣΜΟ ΤΟΥ ΠΑΝΕΠΙΣΤΗΜΙΟΥ ΘΕΣΣΑΛΙΑΣ ΜΕ ΑΡΙΘ. ΠΡΩΤ. </w:t>
      </w:r>
      <w:r w:rsidR="008D37E5" w:rsidRPr="008D37E5">
        <w:rPr>
          <w:rFonts w:ascii="Calibri" w:eastAsia="Times New Roman" w:hAnsi="Calibri" w:cs="Calibri"/>
          <w:b/>
          <w:sz w:val="24"/>
          <w:szCs w:val="24"/>
          <w:lang w:eastAsia="zh-CN"/>
        </w:rPr>
        <w:t>25161/20/ΓΠ/31.12.2020</w:t>
      </w:r>
      <w:bookmarkStart w:id="0" w:name="_GoBack"/>
      <w:bookmarkEnd w:id="0"/>
    </w:p>
    <w:p w:rsidR="0004728C" w:rsidRDefault="0004728C" w:rsidP="000472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04728C" w:rsidRPr="0004728C" w:rsidRDefault="0004728C" w:rsidP="000472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04728C">
        <w:rPr>
          <w:rFonts w:ascii="Calibri" w:eastAsia="Times New Roman" w:hAnsi="Calibri" w:cs="Calibri"/>
          <w:b/>
          <w:sz w:val="24"/>
          <w:szCs w:val="24"/>
        </w:rPr>
        <w:t>ΟΜΑΔΑ 1</w:t>
      </w:r>
    </w:p>
    <w:p w:rsidR="0004728C" w:rsidRPr="0004728C" w:rsidRDefault="0004728C" w:rsidP="000472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04728C" w:rsidRPr="0004728C" w:rsidRDefault="0004728C" w:rsidP="0004728C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b/>
          <w:sz w:val="24"/>
          <w:szCs w:val="24"/>
          <w:lang w:eastAsia="zh-CN"/>
        </w:rPr>
        <w:t>ΠΡΟΔΙΑΓΡΑΦΕΣ ΛΙΠΑΝΤΙΚΩΝ ΑΛΜΕΚΤΙΚΩΝ ΜΗΧΑΝΩΝ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346"/>
        <w:gridCol w:w="1694"/>
        <w:gridCol w:w="1879"/>
        <w:gridCol w:w="1380"/>
      </w:tblGrid>
      <w:tr w:rsidR="0004728C" w:rsidRPr="0004728C" w:rsidTr="004F6C3B">
        <w:trPr>
          <w:jc w:val="center"/>
        </w:trPr>
        <w:tc>
          <w:tcPr>
            <w:tcW w:w="636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Α/Α</w:t>
            </w:r>
          </w:p>
        </w:tc>
        <w:tc>
          <w:tcPr>
            <w:tcW w:w="4752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ΕΙΔΟΣ</w:t>
            </w:r>
          </w:p>
        </w:tc>
        <w:tc>
          <w:tcPr>
            <w:tcW w:w="1783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ΑΠΑΙΤΗΣΗ</w:t>
            </w:r>
          </w:p>
        </w:tc>
        <w:tc>
          <w:tcPr>
            <w:tcW w:w="1984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ΑΠΑΝΤΗΣΗ</w:t>
            </w:r>
          </w:p>
        </w:tc>
        <w:tc>
          <w:tcPr>
            <w:tcW w:w="769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ΠΑΡΑΠΟΜΠΗ</w:t>
            </w:r>
          </w:p>
        </w:tc>
      </w:tr>
      <w:tr w:rsidR="0004728C" w:rsidRPr="0004728C" w:rsidTr="004F6C3B">
        <w:trPr>
          <w:jc w:val="center"/>
        </w:trPr>
        <w:tc>
          <w:tcPr>
            <w:tcW w:w="636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04728C" w:rsidRPr="0004728C" w:rsidRDefault="0004728C" w:rsidP="0004728C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Calibri" w:eastAsia="SimSun" w:hAnsi="Calibri" w:cs="Calibri"/>
                <w:b/>
                <w:bCs/>
                <w:sz w:val="20"/>
                <w:szCs w:val="20"/>
                <w:u w:val="single"/>
                <w:lang w:eastAsia="zh-CN" w:bidi="hi-IN"/>
              </w:rPr>
            </w:pPr>
            <w:r w:rsidRPr="0004728C">
              <w:rPr>
                <w:rFonts w:ascii="Calibri" w:eastAsia="SimSun" w:hAnsi="Calibri" w:cs="Calibri"/>
                <w:b/>
                <w:bCs/>
                <w:sz w:val="20"/>
                <w:szCs w:val="20"/>
                <w:u w:val="single"/>
                <w:lang w:eastAsia="zh-CN" w:bidi="hi-IN"/>
              </w:rPr>
              <w:t xml:space="preserve">ΠΡΟΔΙΑΓΡΑΦΕΣ ΛΙΠΑΝΤΙΚΟΥ ΑΝΤΛΙΩΝ ΚΕΝΟΥ ΑΛΜΕΚΤΙΚΩΝ ΜΗΧΑΝΗΣ </w:t>
            </w:r>
          </w:p>
          <w:p w:rsidR="0004728C" w:rsidRPr="0004728C" w:rsidRDefault="0004728C" w:rsidP="0004728C">
            <w:pPr>
              <w:tabs>
                <w:tab w:val="left" w:pos="4536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/>
              </w:rPr>
            </w:pPr>
            <w:r w:rsidRPr="0004728C"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/>
              </w:rPr>
              <w:t xml:space="preserve">Οι αντλίες κενού των </w:t>
            </w:r>
            <w:proofErr w:type="spellStart"/>
            <w:r w:rsidRPr="0004728C"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/>
              </w:rPr>
              <w:t>αλμεκτικών</w:t>
            </w:r>
            <w:proofErr w:type="spellEnd"/>
            <w:r w:rsidRPr="0004728C"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/>
              </w:rPr>
              <w:t xml:space="preserve"> μηχανών για την λειτουργία τους χρειάζονται λιπαντικό με πολύ καλές ιδιότητες κατά της φθοράς των μετάλλων και απόλυτη συμβατότητα με τα υλικά πωματισμού με τα εξής χαρακτηριστικά: API: CI-4/SL/CH-4.    ACEA: E7/E5.</w:t>
            </w:r>
          </w:p>
          <w:p w:rsidR="0004728C" w:rsidRPr="0004728C" w:rsidRDefault="0004728C" w:rsidP="0004728C">
            <w:pPr>
              <w:tabs>
                <w:tab w:val="left" w:pos="4536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04728C"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/>
              </w:rPr>
              <w:t>Λιπαντικό 4 τεμάχια των 10 λίτρων</w:t>
            </w:r>
          </w:p>
        </w:tc>
        <w:tc>
          <w:tcPr>
            <w:tcW w:w="1783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984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769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04728C" w:rsidRPr="0004728C" w:rsidTr="004F6C3B">
        <w:trPr>
          <w:jc w:val="center"/>
        </w:trPr>
        <w:tc>
          <w:tcPr>
            <w:tcW w:w="636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4752" w:type="dxa"/>
            <w:shd w:val="clear" w:color="auto" w:fill="auto"/>
          </w:tcPr>
          <w:p w:rsidR="0004728C" w:rsidRPr="0004728C" w:rsidRDefault="0004728C" w:rsidP="0004728C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Calibri" w:eastAsia="SimSun" w:hAnsi="Calibri" w:cs="Calibri"/>
                <w:b/>
                <w:bCs/>
                <w:sz w:val="20"/>
                <w:szCs w:val="20"/>
                <w:u w:val="single"/>
                <w:lang w:eastAsia="zh-CN" w:bidi="hi-IN"/>
              </w:rPr>
            </w:pPr>
            <w:r w:rsidRPr="0004728C">
              <w:rPr>
                <w:rFonts w:ascii="Calibri" w:eastAsia="SimSun" w:hAnsi="Calibri" w:cs="Calibri"/>
                <w:b/>
                <w:bCs/>
                <w:sz w:val="20"/>
                <w:szCs w:val="20"/>
                <w:u w:val="single"/>
                <w:lang w:eastAsia="zh-CN" w:bidi="hi-IN"/>
              </w:rPr>
              <w:t>ΠΡΟΔΙΑΓΡΑΦΕΣ ΦΙΛΤΡΩΝ ΓΑΛΑΚΤΟΣ</w:t>
            </w:r>
          </w:p>
          <w:p w:rsidR="0004728C" w:rsidRPr="0004728C" w:rsidRDefault="0004728C" w:rsidP="0004728C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Calibri" w:eastAsia="SimSun" w:hAnsi="Calibri" w:cs="Calibri"/>
                <w:color w:val="2A2B2E"/>
                <w:sz w:val="20"/>
                <w:szCs w:val="20"/>
                <w:lang w:eastAsia="zh-CN" w:bidi="hi-IN"/>
              </w:rPr>
            </w:pPr>
            <w:r w:rsidRPr="0004728C">
              <w:rPr>
                <w:rFonts w:ascii="Calibri" w:eastAsia="SimSun" w:hAnsi="Calibri" w:cs="Calibri"/>
                <w:color w:val="2A2B2E"/>
                <w:sz w:val="20"/>
                <w:szCs w:val="20"/>
                <w:lang w:eastAsia="zh-CN" w:bidi="hi-IN"/>
              </w:rPr>
              <w:t xml:space="preserve">Τα φίλτρα γάλακτος των </w:t>
            </w:r>
            <w:proofErr w:type="spellStart"/>
            <w:r w:rsidRPr="0004728C">
              <w:rPr>
                <w:rFonts w:ascii="Calibri" w:eastAsia="SimSun" w:hAnsi="Calibri" w:cs="Calibri"/>
                <w:color w:val="2A2B2E"/>
                <w:sz w:val="20"/>
                <w:szCs w:val="20"/>
                <w:lang w:eastAsia="zh-CN" w:bidi="hi-IN"/>
              </w:rPr>
              <w:t>αλμεκτικών</w:t>
            </w:r>
            <w:proofErr w:type="spellEnd"/>
            <w:r w:rsidRPr="0004728C">
              <w:rPr>
                <w:rFonts w:ascii="Calibri" w:eastAsia="SimSun" w:hAnsi="Calibri" w:cs="Calibri"/>
                <w:color w:val="2A2B2E"/>
                <w:sz w:val="20"/>
                <w:szCs w:val="20"/>
                <w:lang w:eastAsia="zh-CN" w:bidi="hi-IN"/>
              </w:rPr>
              <w:t xml:space="preserve"> συγκροτημάτων πρέπει να είναι από χαρτί ειδικού τύπου και να έχουν μήκος 455mm.</w:t>
            </w:r>
          </w:p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04728C">
              <w:rPr>
                <w:rFonts w:ascii="Calibri" w:eastAsia="SimSun" w:hAnsi="Calibri" w:cs="Calibri"/>
                <w:color w:val="2A2B2E"/>
                <w:sz w:val="20"/>
                <w:szCs w:val="20"/>
                <w:lang w:eastAsia="zh-CN" w:bidi="hi-IN"/>
              </w:rPr>
              <w:t>Φίλτρα γάλακτος σε συσκευασίες των 370 τεμαχίων ανά συσκευασία.</w:t>
            </w:r>
          </w:p>
        </w:tc>
        <w:tc>
          <w:tcPr>
            <w:tcW w:w="1783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984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769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</w:tbl>
    <w:p w:rsidR="0004728C" w:rsidRPr="0004728C" w:rsidRDefault="0004728C" w:rsidP="0004728C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04728C" w:rsidRPr="0004728C" w:rsidRDefault="0004728C" w:rsidP="0004728C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b/>
          <w:sz w:val="24"/>
          <w:szCs w:val="24"/>
          <w:lang w:eastAsia="zh-CN"/>
        </w:rPr>
        <w:t>ΓΕΝΙΚΟΙ ΟΡΟΙ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264"/>
        <w:gridCol w:w="1692"/>
        <w:gridCol w:w="1876"/>
        <w:gridCol w:w="1467"/>
      </w:tblGrid>
      <w:tr w:rsidR="0004728C" w:rsidRPr="0004728C" w:rsidTr="004F6C3B">
        <w:trPr>
          <w:jc w:val="center"/>
        </w:trPr>
        <w:tc>
          <w:tcPr>
            <w:tcW w:w="625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Α/Α</w:t>
            </w:r>
          </w:p>
        </w:tc>
        <w:tc>
          <w:tcPr>
            <w:tcW w:w="4264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ΕΙΔΟΣ</w:t>
            </w:r>
          </w:p>
        </w:tc>
        <w:tc>
          <w:tcPr>
            <w:tcW w:w="1692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ΑΠΑΙΤΗΣΗ</w:t>
            </w:r>
          </w:p>
        </w:tc>
        <w:tc>
          <w:tcPr>
            <w:tcW w:w="1876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ΑΠΑΝΤΗΣΗ</w:t>
            </w:r>
          </w:p>
        </w:tc>
        <w:tc>
          <w:tcPr>
            <w:tcW w:w="1467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ΠΑΡΑΠΟΜΠΗ</w:t>
            </w:r>
          </w:p>
        </w:tc>
      </w:tr>
      <w:tr w:rsidR="0004728C" w:rsidRPr="0004728C" w:rsidTr="004F6C3B">
        <w:trPr>
          <w:jc w:val="center"/>
        </w:trPr>
        <w:tc>
          <w:tcPr>
            <w:tcW w:w="625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4264" w:type="dxa"/>
            <w:shd w:val="clear" w:color="auto" w:fill="auto"/>
          </w:tcPr>
          <w:p w:rsidR="0004728C" w:rsidRPr="0004728C" w:rsidRDefault="0004728C" w:rsidP="0004728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04728C"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Η παράδοση και η αποθήκευση θα γίνεται από τον προμηθευτή στις αποθήκες του Αγροκτήματος.</w:t>
            </w:r>
          </w:p>
        </w:tc>
        <w:tc>
          <w:tcPr>
            <w:tcW w:w="1692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67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04728C" w:rsidRPr="0004728C" w:rsidTr="004F6C3B">
        <w:trPr>
          <w:jc w:val="center"/>
        </w:trPr>
        <w:tc>
          <w:tcPr>
            <w:tcW w:w="625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4264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04728C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>Η παράδοση των προϊόντων θα γίνεται τμηματικά κατόπιν συνεννόησης με την Υπηρεσία Αγροκτήματος</w:t>
            </w:r>
            <w:r w:rsidRPr="0004728C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από την υπογραφή της σύμβασης και για ένα έτος</w:t>
            </w:r>
          </w:p>
        </w:tc>
        <w:tc>
          <w:tcPr>
            <w:tcW w:w="1692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67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04728C" w:rsidRPr="0004728C" w:rsidTr="004F6C3B">
        <w:trPr>
          <w:jc w:val="center"/>
        </w:trPr>
        <w:tc>
          <w:tcPr>
            <w:tcW w:w="625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4264" w:type="dxa"/>
            <w:shd w:val="clear" w:color="auto" w:fill="auto"/>
          </w:tcPr>
          <w:p w:rsidR="0004728C" w:rsidRPr="0004728C" w:rsidRDefault="0004728C" w:rsidP="0004728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04728C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Μπορεί να γίνει αυξομείωση των ποσοτήτων χωρίς υπέρβαση του προϋπολογισμού της συγκεκριμένης ομάδας</w:t>
            </w:r>
          </w:p>
        </w:tc>
        <w:tc>
          <w:tcPr>
            <w:tcW w:w="1692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67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04728C" w:rsidRPr="0004728C" w:rsidTr="004F6C3B">
        <w:trPr>
          <w:jc w:val="center"/>
        </w:trPr>
        <w:tc>
          <w:tcPr>
            <w:tcW w:w="625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04728C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64" w:type="dxa"/>
            <w:shd w:val="clear" w:color="auto" w:fill="auto"/>
          </w:tcPr>
          <w:p w:rsidR="0004728C" w:rsidRPr="0004728C" w:rsidRDefault="0004728C" w:rsidP="0004728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04728C"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Κάθε παράδοση παραγγελίας θα συνοδεύεται από έγγραφη βεβαίωση του προμηθευτή με υπεύθυνη δήλωση του Ν.1599/1986 ότι ισχύουν όλα τα ανωτέρω.</w:t>
            </w:r>
          </w:p>
        </w:tc>
        <w:tc>
          <w:tcPr>
            <w:tcW w:w="1692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4728C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67" w:type="dxa"/>
            <w:shd w:val="clear" w:color="auto" w:fill="auto"/>
          </w:tcPr>
          <w:p w:rsidR="0004728C" w:rsidRPr="0004728C" w:rsidRDefault="0004728C" w:rsidP="0004728C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</w:tbl>
    <w:p w:rsidR="0004728C" w:rsidRPr="0004728C" w:rsidRDefault="0004728C" w:rsidP="0004728C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04728C" w:rsidRPr="0004728C" w:rsidRDefault="0004728C" w:rsidP="0004728C">
      <w:pPr>
        <w:suppressAutoHyphens/>
        <w:spacing w:after="0" w:line="240" w:lineRule="auto"/>
        <w:contextualSpacing/>
        <w:jc w:val="right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Ο ΣΥΜΜΕΤΕΧΩΝ </w:t>
      </w:r>
    </w:p>
    <w:p w:rsidR="006C3CAB" w:rsidRDefault="006C3CAB" w:rsidP="0004728C">
      <w:pPr>
        <w:suppressAutoHyphens/>
        <w:spacing w:after="0" w:line="240" w:lineRule="auto"/>
        <w:contextualSpacing/>
        <w:jc w:val="right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6C3CAB" w:rsidRDefault="006C3CAB" w:rsidP="0004728C">
      <w:pPr>
        <w:suppressAutoHyphens/>
        <w:spacing w:after="0" w:line="240" w:lineRule="auto"/>
        <w:contextualSpacing/>
        <w:jc w:val="right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04728C" w:rsidRPr="0004728C" w:rsidRDefault="0004728C" w:rsidP="001C2DBA">
      <w:pPr>
        <w:suppressAutoHyphens/>
        <w:spacing w:after="0" w:line="240" w:lineRule="auto"/>
        <w:contextualSpacing/>
        <w:jc w:val="right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b/>
          <w:sz w:val="24"/>
          <w:szCs w:val="24"/>
          <w:lang w:eastAsia="zh-CN"/>
        </w:rPr>
        <w:t>(ΥΠΟΓΡΑΦΗ</w:t>
      </w:r>
      <w:r w:rsidR="008751FC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ΚΑΙ ΣΦΡΑΓΙΔΑ</w:t>
      </w:r>
      <w:r w:rsidRPr="0004728C">
        <w:rPr>
          <w:rFonts w:ascii="Calibri" w:eastAsia="Times New Roman" w:hAnsi="Calibri" w:cs="Calibri"/>
          <w:b/>
          <w:sz w:val="24"/>
          <w:szCs w:val="24"/>
          <w:lang w:eastAsia="zh-CN"/>
        </w:rPr>
        <w:t>)</w:t>
      </w:r>
    </w:p>
    <w:p w:rsidR="00E90B5C" w:rsidRDefault="00E90B5C"/>
    <w:sectPr w:rsidR="00E90B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A1"/>
    <w:rsid w:val="0004728C"/>
    <w:rsid w:val="00141F3E"/>
    <w:rsid w:val="001C2DBA"/>
    <w:rsid w:val="006C3CAB"/>
    <w:rsid w:val="008148A1"/>
    <w:rsid w:val="008751FC"/>
    <w:rsid w:val="008D37E5"/>
    <w:rsid w:val="00A51E6F"/>
    <w:rsid w:val="00E9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FC0F-FE7A-4780-84B5-5B3AA061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ekareli</cp:lastModifiedBy>
  <cp:revision>8</cp:revision>
  <dcterms:created xsi:type="dcterms:W3CDTF">2020-12-18T10:49:00Z</dcterms:created>
  <dcterms:modified xsi:type="dcterms:W3CDTF">2020-12-31T08:14:00Z</dcterms:modified>
</cp:coreProperties>
</file>