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157C" w14:textId="038CD56B" w:rsidR="007503B6" w:rsidRPr="00D130C9" w:rsidRDefault="005B6244">
      <w:pPr>
        <w:rPr>
          <w:b/>
          <w:bCs/>
        </w:rPr>
      </w:pPr>
      <w:r>
        <w:rPr>
          <w:b/>
          <w:bCs/>
          <w:noProof/>
          <w:lang w:val="en-GB"/>
        </w:rPr>
        <w:t>To</w:t>
      </w:r>
      <w:r w:rsidRPr="005B6244">
        <w:rPr>
          <w:b/>
          <w:bCs/>
          <w:noProof/>
        </w:rPr>
        <w:t xml:space="preserve"> </w:t>
      </w:r>
      <w:r>
        <w:rPr>
          <w:b/>
          <w:bCs/>
          <w:noProof/>
        </w:rPr>
        <w:t>Πειραματικό Λύκειο Σχεδιάζει Μαθησιακά Παιχνίδια στο ΤΗΜΜΥ</w:t>
      </w:r>
    </w:p>
    <w:p w14:paraId="3DF04883" w14:textId="011F9506" w:rsidR="002D0074" w:rsidRDefault="00AD79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52D27F" wp14:editId="4B1AAB50">
                <wp:simplePos x="0" y="0"/>
                <wp:positionH relativeFrom="column">
                  <wp:posOffset>-45720</wp:posOffset>
                </wp:positionH>
                <wp:positionV relativeFrom="paragraph">
                  <wp:posOffset>2346960</wp:posOffset>
                </wp:positionV>
                <wp:extent cx="3177540" cy="635"/>
                <wp:effectExtent l="0" t="0" r="3810" b="0"/>
                <wp:wrapTight wrapText="bothSides">
                  <wp:wrapPolygon edited="0">
                    <wp:start x="0" y="0"/>
                    <wp:lineTo x="0" y="20057"/>
                    <wp:lineTo x="21496" y="20057"/>
                    <wp:lineTo x="21496" y="0"/>
                    <wp:lineTo x="0" y="0"/>
                  </wp:wrapPolygon>
                </wp:wrapTight>
                <wp:docPr id="45692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2F9D7" w14:textId="36766089" w:rsidR="002063A2" w:rsidRPr="00622095" w:rsidRDefault="002063A2" w:rsidP="002063A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Εικόνα </w:t>
                            </w:r>
                            <w:r w:rsidR="00AA611F">
                              <w:fldChar w:fldCharType="begin"/>
                            </w:r>
                            <w:r w:rsidR="00AA611F">
                              <w:instrText xml:space="preserve"> SEQ Εικόνα \* ARABIC </w:instrText>
                            </w:r>
                            <w:r w:rsidR="00AA611F">
                              <w:fldChar w:fldCharType="separate"/>
                            </w:r>
                            <w:r w:rsidR="00AA611F">
                              <w:rPr>
                                <w:noProof/>
                              </w:rPr>
                              <w:t>1</w:t>
                            </w:r>
                            <w:r w:rsidR="00AA611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Το </w:t>
                            </w:r>
                            <w:r w:rsidR="00AD4327">
                              <w:t>Πειραματικό Λύκειο Νέας Ιωνίας Βόλου στο</w:t>
                            </w:r>
                            <w:r w:rsidR="00DD59CC">
                              <w:t xml:space="preserve"> ΤΗΜΜΥ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2D2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6pt;margin-top:184.8pt;width:250.2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" stroked="f">
                <v:textbox style="mso-fit-shape-to-text:t" inset="0,0,0,0">
                  <w:txbxContent>
                    <w:p w14:paraId="40A2F9D7" w14:textId="36766089" w:rsidR="002063A2" w:rsidRPr="00622095" w:rsidRDefault="002063A2" w:rsidP="002063A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Εικόνα </w:t>
                      </w:r>
                      <w:r w:rsidR="00AA611F">
                        <w:fldChar w:fldCharType="begin"/>
                      </w:r>
                      <w:r w:rsidR="00AA611F">
                        <w:instrText xml:space="preserve"> SEQ Εικόνα \* ARABIC </w:instrText>
                      </w:r>
                      <w:r w:rsidR="00AA611F">
                        <w:fldChar w:fldCharType="separate"/>
                      </w:r>
                      <w:r w:rsidR="00AA611F">
                        <w:rPr>
                          <w:noProof/>
                        </w:rPr>
                        <w:t>1</w:t>
                      </w:r>
                      <w:r w:rsidR="00AA611F">
                        <w:rPr>
                          <w:noProof/>
                        </w:rPr>
                        <w:fldChar w:fldCharType="end"/>
                      </w:r>
                      <w:r>
                        <w:t xml:space="preserve">. Το </w:t>
                      </w:r>
                      <w:r w:rsidR="00AD4327">
                        <w:t>Πειραματικό Λύκειο Νέας Ιωνίας Βόλου στο</w:t>
                      </w:r>
                      <w:r w:rsidR="00DD59CC">
                        <w:t xml:space="preserve"> ΤΗΜΜΥ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4327">
        <w:rPr>
          <w:noProof/>
        </w:rPr>
        <w:drawing>
          <wp:anchor distT="0" distB="0" distL="114300" distR="114300" simplePos="0" relativeHeight="251661312" behindDoc="1" locked="0" layoutInCell="1" allowOverlap="1" wp14:anchorId="0772045A" wp14:editId="5FCFB171">
            <wp:simplePos x="0" y="0"/>
            <wp:positionH relativeFrom="column">
              <wp:posOffset>-45720</wp:posOffset>
            </wp:positionH>
            <wp:positionV relativeFrom="paragraph">
              <wp:posOffset>71755</wp:posOffset>
            </wp:positionV>
            <wp:extent cx="3307080" cy="2175510"/>
            <wp:effectExtent l="0" t="0" r="7620" b="0"/>
            <wp:wrapTight wrapText="bothSides">
              <wp:wrapPolygon edited="0">
                <wp:start x="0" y="0"/>
                <wp:lineTo x="0" y="21373"/>
                <wp:lineTo x="21525" y="21373"/>
                <wp:lineTo x="21525" y="0"/>
                <wp:lineTo x="0" y="0"/>
              </wp:wrapPolygon>
            </wp:wrapTight>
            <wp:docPr id="213982819" name="Picture 2" descr="A group of people in a classroom with compu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2819" name="Picture 2" descr="A group of people in a classroom with compu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DD7">
        <w:t>Το Τμήμα Ηλεκτρολόγων Μηχανικών και Μηχανικών Υπολογιστών του Πανεπιστημίου Θεσσαλίας (ΤΗΜΜΥ), και συγκεκριμένα η ερευνητική ομάδα Δημιουργικών Τεχνολογιών Μάθησης (</w:t>
      </w:r>
      <w:hyperlink r:id="rId6" w:history="1">
        <w:r w:rsidR="00505A8B" w:rsidRPr="00F204D4">
          <w:rPr>
            <w:rStyle w:val="Hyperlink"/>
            <w:lang w:val="en-GB"/>
          </w:rPr>
          <w:t>http</w:t>
        </w:r>
        <w:r w:rsidR="00505A8B" w:rsidRPr="00F204D4">
          <w:rPr>
            <w:rStyle w:val="Hyperlink"/>
          </w:rPr>
          <w:t>://</w:t>
        </w:r>
        <w:proofErr w:type="spellStart"/>
        <w:r w:rsidR="00505A8B" w:rsidRPr="00F204D4">
          <w:rPr>
            <w:rStyle w:val="Hyperlink"/>
            <w:lang w:val="en-GB"/>
          </w:rPr>
          <w:t>ctll</w:t>
        </w:r>
        <w:proofErr w:type="spellEnd"/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e</w:t>
        </w:r>
        <w:r w:rsidR="00505A8B" w:rsidRPr="00F204D4">
          <w:rPr>
            <w:rStyle w:val="Hyperlink"/>
          </w:rPr>
          <w:t>-</w:t>
        </w:r>
        <w:proofErr w:type="spellStart"/>
        <w:r w:rsidR="00505A8B" w:rsidRPr="00F204D4">
          <w:rPr>
            <w:rStyle w:val="Hyperlink"/>
            <w:lang w:val="en-GB"/>
          </w:rPr>
          <w:t>ce</w:t>
        </w:r>
        <w:proofErr w:type="spellEnd"/>
        <w:r w:rsidR="00505A8B" w:rsidRPr="00F204D4">
          <w:rPr>
            <w:rStyle w:val="Hyperlink"/>
          </w:rPr>
          <w:t>.</w:t>
        </w:r>
        <w:proofErr w:type="spellStart"/>
        <w:r w:rsidR="00505A8B" w:rsidRPr="00F204D4">
          <w:rPr>
            <w:rStyle w:val="Hyperlink"/>
            <w:lang w:val="en-GB"/>
          </w:rPr>
          <w:t>uth</w:t>
        </w:r>
        <w:proofErr w:type="spellEnd"/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gr</w:t>
        </w:r>
      </w:hyperlink>
      <w:r w:rsidR="00505A8B" w:rsidRPr="00505A8B">
        <w:t xml:space="preserve"> </w:t>
      </w:r>
      <w:r w:rsidR="00E47DD7" w:rsidRPr="00E47DD7">
        <w:t>)</w:t>
      </w:r>
      <w:r w:rsidR="00ED5862" w:rsidRPr="00ED5862">
        <w:t>,</w:t>
      </w:r>
      <w:r w:rsidR="00E47DD7">
        <w:t xml:space="preserve"> διοργάνωσε </w:t>
      </w:r>
      <w:r w:rsidR="00AB51AE">
        <w:t>εκπαιδευτική δράση</w:t>
      </w:r>
      <w:r w:rsidR="00E47DD7">
        <w:t xml:space="preserve"> </w:t>
      </w:r>
      <w:r w:rsidR="005B6244">
        <w:t>με τη συμμετοχή μαθητών του Πειραματικού Λυκείου Νέας Ιωνίας Βόλου</w:t>
      </w:r>
      <w:r w:rsidR="00E47DD7">
        <w:t>. Η δράσ</w:t>
      </w:r>
      <w:r w:rsidR="00AB51AE">
        <w:t>η</w:t>
      </w:r>
      <w:r w:rsidR="00E47DD7">
        <w:t xml:space="preserve"> πραγματοποιήθηκ</w:t>
      </w:r>
      <w:r w:rsidR="00AB51AE">
        <w:t>ε</w:t>
      </w:r>
      <w:r w:rsidR="00E47DD7">
        <w:t xml:space="preserve"> </w:t>
      </w:r>
      <w:r w:rsidR="00B242A1">
        <w:t xml:space="preserve">στις </w:t>
      </w:r>
      <w:r w:rsidR="003567F5">
        <w:t>1</w:t>
      </w:r>
      <w:r w:rsidR="005B6244">
        <w:t>6</w:t>
      </w:r>
      <w:r w:rsidR="003567F5">
        <w:t xml:space="preserve"> Ιανουαρίου 2025</w:t>
      </w:r>
      <w:r w:rsidR="00B242A1">
        <w:t xml:space="preserve"> </w:t>
      </w:r>
      <w:r w:rsidR="00E47DD7">
        <w:t>στο εργαστήριο υπολογιστών του ΤΗΜΜΥ</w:t>
      </w:r>
      <w:r w:rsidR="005B6244">
        <w:t xml:space="preserve"> με τη συμμετοχή 25 περίπου μαθητών π</w:t>
      </w:r>
      <w:r w:rsidR="00FF2872">
        <w:rPr>
          <w:lang w:val="en-GB"/>
        </w:rPr>
        <w:t>o</w:t>
      </w:r>
      <w:r w:rsidR="005B6244">
        <w:t>υ συνοδεύτηκαν από τις καθηγήτριες τους κ. Ευτυχία Δαμάσκου και κ. Βασιλική Φωτεινοπούλου</w:t>
      </w:r>
      <w:r w:rsidR="00E47DD7">
        <w:t>.</w:t>
      </w:r>
      <w:r w:rsidR="002D0074" w:rsidRPr="002D0074">
        <w:t xml:space="preserve"> </w:t>
      </w:r>
    </w:p>
    <w:p w14:paraId="4123C108" w14:textId="4FFEE838" w:rsidR="00057E79" w:rsidRDefault="002D0074">
      <w:r>
        <w:t xml:space="preserve">Οι μαθητές εξοικειώθηκαν </w:t>
      </w:r>
      <w:r w:rsidR="005B6244">
        <w:t xml:space="preserve">με έννοιες και καλές πρακτικές </w:t>
      </w:r>
      <w:r w:rsidR="0046429A">
        <w:t>για</w:t>
      </w:r>
      <w:r w:rsidR="005B6244">
        <w:t xml:space="preserve"> σχεδιασμό μαθησιακών παιχνιδιών, δηλαδή παιχνιδιών που έχουν αναπτυχθεί με στόχο </w:t>
      </w:r>
      <w:r w:rsidR="00756C08">
        <w:t xml:space="preserve">το </w:t>
      </w:r>
      <w:r w:rsidR="006827F6">
        <w:t>κ</w:t>
      </w:r>
      <w:r w:rsidR="00756C08">
        <w:t>τίσιμο</w:t>
      </w:r>
      <w:r w:rsidR="005B6244">
        <w:t xml:space="preserve"> γνώσης και δεξιοτήτων. Επιπλέον παρακολούθησαν παρουσίαση ψηφιακών μαθησιακών παιχνιδιών που έχουν </w:t>
      </w:r>
      <w:r w:rsidR="0046429A">
        <w:t>υλοποιηθεί</w:t>
      </w:r>
      <w:r w:rsidR="005B6244">
        <w:t xml:space="preserve"> από την ομάδα Δημιουργικών Τεχνολογιών Μάθησης </w:t>
      </w:r>
      <w:r w:rsidR="00FF2872">
        <w:t>μέσα από ερευνητικές δράσεις</w:t>
      </w:r>
      <w:r w:rsidR="00AB51AE">
        <w:t>.</w:t>
      </w:r>
      <w:r w:rsidR="005B6244">
        <w:t xml:space="preserve"> </w:t>
      </w:r>
      <w:r w:rsidR="0046429A">
        <w:t>Τέλος,</w:t>
      </w:r>
      <w:r w:rsidR="005B6244">
        <w:t xml:space="preserve"> συμμετείχαν σε βιωματικό εργαστήριο σχεδιάζοντας σε ομάδε</w:t>
      </w:r>
      <w:r w:rsidR="0046429A">
        <w:t xml:space="preserve">ς </w:t>
      </w:r>
      <w:r w:rsidR="005B6244">
        <w:t>μαθησιακά παιχνίδια για ευαισθητοποίηση σε θέματα βιωσιμότητας και υπεύθυνης συμπεριφοράς προς το περιβάλλον</w:t>
      </w:r>
      <w:r w:rsidR="005863EE">
        <w:t xml:space="preserve">, δίνοντας έμφαση στους κανόνες, την ιστορία, τον κόσμο, και τους χαρακτήρες των παιχνιδιών. </w:t>
      </w:r>
      <w:r w:rsidR="005B6244">
        <w:t>Τα παιχνίδια που σχεδιάστηκαν αφορούσαν διαχείριση φυσικών πόρων, προστασία του περιβάλλοντος,</w:t>
      </w:r>
      <w:r w:rsidR="0046429A">
        <w:t xml:space="preserve"> και</w:t>
      </w:r>
      <w:r w:rsidR="005B6244">
        <w:t xml:space="preserve"> ανακύκλωση. </w:t>
      </w:r>
    </w:p>
    <w:p w14:paraId="7CE5B98C" w14:textId="7CB9E54A" w:rsidR="008D5EA0" w:rsidRDefault="008D5EA0">
      <w:pPr>
        <w:pBdr>
          <w:bottom w:val="single" w:sz="12" w:space="1" w:color="auto"/>
        </w:pBdr>
      </w:pPr>
      <w:r>
        <w:t xml:space="preserve">Η δράση πραγματοποιήθηκε στα πλαίσια του ερευνητικού έργου </w:t>
      </w:r>
      <w:proofErr w:type="spellStart"/>
      <w:r w:rsidR="005B6244">
        <w:rPr>
          <w:lang w:val="en-GB"/>
        </w:rPr>
        <w:t>BuildAsNature</w:t>
      </w:r>
      <w:proofErr w:type="spellEnd"/>
      <w:r w:rsidR="005B6244" w:rsidRPr="005B6244">
        <w:t xml:space="preserve">: </w:t>
      </w:r>
      <w:r w:rsidR="005B6244">
        <w:rPr>
          <w:lang w:val="en-GB"/>
        </w:rPr>
        <w:t>Serious</w:t>
      </w:r>
      <w:r w:rsidR="005B6244" w:rsidRPr="005B6244">
        <w:t xml:space="preserve"> </w:t>
      </w:r>
      <w:r w:rsidR="005B6244">
        <w:rPr>
          <w:lang w:val="en-GB"/>
        </w:rPr>
        <w:t>Games</w:t>
      </w:r>
      <w:r w:rsidR="005B6244" w:rsidRPr="005B6244">
        <w:t xml:space="preserve"> </w:t>
      </w:r>
      <w:r w:rsidR="005B6244">
        <w:rPr>
          <w:lang w:val="en-GB"/>
        </w:rPr>
        <w:t>for</w:t>
      </w:r>
      <w:r w:rsidR="005B6244" w:rsidRPr="005B6244">
        <w:t xml:space="preserve"> </w:t>
      </w:r>
      <w:r w:rsidR="005B6244">
        <w:rPr>
          <w:lang w:val="en-GB"/>
        </w:rPr>
        <w:t>Nature</w:t>
      </w:r>
      <w:r w:rsidR="005B6244" w:rsidRPr="005B6244">
        <w:t>-</w:t>
      </w:r>
      <w:r w:rsidR="005B6244">
        <w:rPr>
          <w:lang w:val="en-GB"/>
        </w:rPr>
        <w:t>based</w:t>
      </w:r>
      <w:r w:rsidR="005B6244" w:rsidRPr="005B6244">
        <w:t xml:space="preserve"> </w:t>
      </w:r>
      <w:r w:rsidR="005B6244">
        <w:rPr>
          <w:lang w:val="en-GB"/>
        </w:rPr>
        <w:t>Solution</w:t>
      </w:r>
      <w:r w:rsidR="00505A8B" w:rsidRPr="00505A8B">
        <w:t xml:space="preserve"> </w:t>
      </w:r>
      <w:r>
        <w:t xml:space="preserve">που χρηματοδοτείται από το πρόγραμμα </w:t>
      </w:r>
      <w:r w:rsidR="005B6244">
        <w:rPr>
          <w:lang w:val="en-GB"/>
        </w:rPr>
        <w:t>Erasmus</w:t>
      </w:r>
      <w:r w:rsidR="005B6244" w:rsidRPr="005B6244">
        <w:t xml:space="preserve">+ </w:t>
      </w:r>
      <w:r w:rsidR="005B6244">
        <w:t>και</w:t>
      </w:r>
      <w:r>
        <w:t xml:space="preserve"> υλοποιείται από το 202</w:t>
      </w:r>
      <w:r w:rsidR="005B6244">
        <w:t>4</w:t>
      </w:r>
      <w:r>
        <w:t xml:space="preserve"> έως το 202</w:t>
      </w:r>
      <w:r w:rsidR="005B6244">
        <w:t>6</w:t>
      </w:r>
      <w:r>
        <w:t xml:space="preserve"> με συμμετοχή του Πανεπιστημίου Θεσσαλίας</w:t>
      </w:r>
      <w:r w:rsidR="005B6244">
        <w:t xml:space="preserve"> και εκπαιδευτικών οργανισμών από τη Γερμανία, την Ισλανδία, την Εσθονία, και την Πορτογαλία</w:t>
      </w:r>
      <w:r w:rsidRPr="008D5EA0">
        <w:t xml:space="preserve">. </w:t>
      </w:r>
      <w:r>
        <w:t>Επιστημονικά υπεύθυν</w:t>
      </w:r>
      <w:r w:rsidR="005B6244">
        <w:t>οι</w:t>
      </w:r>
      <w:r>
        <w:t xml:space="preserve"> του ερευνητικού έργου είναι </w:t>
      </w:r>
      <w:r w:rsidR="005B6244">
        <w:t>το μέλος ΕΔΙΠ του ΤΗΜΜΥ κ. Τσαλαπάτα</w:t>
      </w:r>
      <w:r>
        <w:t xml:space="preserve"> </w:t>
      </w:r>
      <w:r w:rsidR="005B6244">
        <w:t xml:space="preserve">και ο </w:t>
      </w:r>
      <w:proofErr w:type="spellStart"/>
      <w:r>
        <w:t>Ομ</w:t>
      </w:r>
      <w:proofErr w:type="spellEnd"/>
      <w:r>
        <w:t xml:space="preserve">. Καθηγητής του ΤΗΜΜΥ κ. </w:t>
      </w:r>
      <w:proofErr w:type="spellStart"/>
      <w:r>
        <w:t>Χούστης</w:t>
      </w:r>
      <w:proofErr w:type="spellEnd"/>
      <w:r w:rsidR="00E80748">
        <w:t xml:space="preserve">. </w:t>
      </w:r>
    </w:p>
    <w:p w14:paraId="4871AB48" w14:textId="2FCFF090" w:rsidR="00442387" w:rsidRPr="00487558" w:rsidRDefault="00487558" w:rsidP="00442387">
      <w:pPr>
        <w:rPr>
          <w:b/>
          <w:bCs/>
          <w:lang w:val="en-GB"/>
        </w:rPr>
      </w:pPr>
      <w:r>
        <w:rPr>
          <w:b/>
          <w:bCs/>
          <w:lang w:val="en-GB"/>
        </w:rPr>
        <w:t>Innovation activities at the Department of Electrical and Computer Engineering, University of Thessaly</w:t>
      </w:r>
    </w:p>
    <w:p w14:paraId="7657072A" w14:textId="0D63C014" w:rsidR="006008C1" w:rsidRDefault="00442387" w:rsidP="006008C1">
      <w:pPr>
        <w:rPr>
          <w:lang w:val="en-GB"/>
        </w:rPr>
      </w:pPr>
      <w:r w:rsidRPr="00442387">
        <w:rPr>
          <w:lang w:val="en-GB"/>
        </w:rPr>
        <w:lastRenderedPageBreak/>
        <w:t>The Department of Electrical and Computer Engineering of the University of Thessaly (</w:t>
      </w:r>
      <w:r>
        <w:rPr>
          <w:lang w:val="en-GB"/>
        </w:rPr>
        <w:t>D</w:t>
      </w:r>
      <w:r w:rsidRPr="00442387">
        <w:rPr>
          <w:lang w:val="en-GB"/>
        </w:rPr>
        <w:t xml:space="preserve">ECE), specifically the </w:t>
      </w:r>
      <w:r>
        <w:rPr>
          <w:lang w:val="en-GB"/>
        </w:rPr>
        <w:t>Creative Technologies Learning Lab</w:t>
      </w:r>
      <w:r w:rsidRPr="00442387">
        <w:rPr>
          <w:lang w:val="en-GB"/>
        </w:rPr>
        <w:t xml:space="preserve"> (</w:t>
      </w:r>
      <w:hyperlink r:id="rId7" w:history="1">
        <w:r w:rsidR="00505A8B" w:rsidRPr="00F204D4">
          <w:rPr>
            <w:rStyle w:val="Hyperlink"/>
            <w:lang w:val="en-GB"/>
          </w:rPr>
          <w:t>http://ctll.e-ce.uth.gr</w:t>
        </w:r>
      </w:hyperlink>
      <w:r w:rsidR="00505A8B">
        <w:rPr>
          <w:lang w:val="en-GB"/>
        </w:rPr>
        <w:t xml:space="preserve"> </w:t>
      </w:r>
      <w:r w:rsidRPr="00442387">
        <w:rPr>
          <w:lang w:val="en-GB"/>
        </w:rPr>
        <w:t xml:space="preserve">) research group, </w:t>
      </w:r>
      <w:r w:rsidR="00E239D6">
        <w:rPr>
          <w:lang w:val="en-GB"/>
        </w:rPr>
        <w:t>organised</w:t>
      </w:r>
      <w:r w:rsidR="00E239D6" w:rsidRPr="00E239D6">
        <w:rPr>
          <w:lang w:val="en-GB"/>
        </w:rPr>
        <w:t xml:space="preserve"> an educational activity for high school students </w:t>
      </w:r>
      <w:r w:rsidR="006008C1">
        <w:rPr>
          <w:lang w:val="en-GB"/>
        </w:rPr>
        <w:t>on designing serious learning games.</w:t>
      </w:r>
      <w:r w:rsidR="00E239D6" w:rsidRPr="00E239D6">
        <w:rPr>
          <w:lang w:val="en-GB"/>
        </w:rPr>
        <w:t xml:space="preserve"> </w:t>
      </w:r>
      <w:r w:rsidR="006008C1" w:rsidRPr="006008C1">
        <w:rPr>
          <w:lang w:val="en-GB"/>
        </w:rPr>
        <w:t xml:space="preserve">The </w:t>
      </w:r>
      <w:r w:rsidR="006008C1">
        <w:rPr>
          <w:lang w:val="en-GB"/>
        </w:rPr>
        <w:t>activity</w:t>
      </w:r>
      <w:r w:rsidR="006008C1" w:rsidRPr="006008C1">
        <w:rPr>
          <w:lang w:val="en-GB"/>
        </w:rPr>
        <w:t xml:space="preserve"> </w:t>
      </w:r>
      <w:r w:rsidR="006008C1">
        <w:rPr>
          <w:lang w:val="en-GB"/>
        </w:rPr>
        <w:t>occurred</w:t>
      </w:r>
      <w:r w:rsidR="006008C1" w:rsidRPr="006008C1">
        <w:rPr>
          <w:lang w:val="en-GB"/>
        </w:rPr>
        <w:t xml:space="preserve"> on January 16, 2025</w:t>
      </w:r>
      <w:r w:rsidR="006008C1">
        <w:rPr>
          <w:lang w:val="en-GB"/>
        </w:rPr>
        <w:t>, at the DECE computer lab with about 25 students accompanied by their teachers,</w:t>
      </w:r>
      <w:r w:rsidR="006008C1" w:rsidRPr="006008C1">
        <w:rPr>
          <w:lang w:val="en-GB"/>
        </w:rPr>
        <w:t xml:space="preserve"> Ms. </w:t>
      </w:r>
      <w:proofErr w:type="spellStart"/>
      <w:r w:rsidR="006008C1" w:rsidRPr="006008C1">
        <w:rPr>
          <w:lang w:val="en-GB"/>
        </w:rPr>
        <w:t>Eftyhia</w:t>
      </w:r>
      <w:proofErr w:type="spellEnd"/>
      <w:r w:rsidR="006008C1" w:rsidRPr="006008C1">
        <w:rPr>
          <w:lang w:val="en-GB"/>
        </w:rPr>
        <w:t xml:space="preserve"> </w:t>
      </w:r>
      <w:proofErr w:type="spellStart"/>
      <w:r w:rsidR="006008C1" w:rsidRPr="006008C1">
        <w:rPr>
          <w:lang w:val="en-GB"/>
        </w:rPr>
        <w:t>Damaskou</w:t>
      </w:r>
      <w:proofErr w:type="spellEnd"/>
      <w:r w:rsidR="006008C1" w:rsidRPr="006008C1">
        <w:rPr>
          <w:lang w:val="en-GB"/>
        </w:rPr>
        <w:t xml:space="preserve"> and Ms. Vasiliki </w:t>
      </w:r>
      <w:proofErr w:type="spellStart"/>
      <w:r w:rsidR="006008C1" w:rsidRPr="006008C1">
        <w:rPr>
          <w:lang w:val="en-GB"/>
        </w:rPr>
        <w:t>Foteinopoulou</w:t>
      </w:r>
      <w:proofErr w:type="spellEnd"/>
      <w:r w:rsidR="006008C1" w:rsidRPr="006008C1">
        <w:rPr>
          <w:lang w:val="en-GB"/>
        </w:rPr>
        <w:t xml:space="preserve">. </w:t>
      </w:r>
    </w:p>
    <w:p w14:paraId="290B1734" w14:textId="77777777" w:rsidR="006008C1" w:rsidRDefault="006008C1" w:rsidP="006008C1">
      <w:pPr>
        <w:rPr>
          <w:lang w:val="en-GB"/>
        </w:rPr>
      </w:pPr>
      <w:r w:rsidRPr="006008C1">
        <w:rPr>
          <w:lang w:val="en-GB"/>
        </w:rPr>
        <w:t>Students became familiar with concepts and good practices for designing learning games, i.e.</w:t>
      </w:r>
      <w:r>
        <w:rPr>
          <w:lang w:val="en-GB"/>
        </w:rPr>
        <w:t>, games</w:t>
      </w:r>
      <w:r w:rsidRPr="006008C1">
        <w:rPr>
          <w:lang w:val="en-GB"/>
        </w:rPr>
        <w:t xml:space="preserve"> developed </w:t>
      </w:r>
      <w:r>
        <w:rPr>
          <w:lang w:val="en-GB"/>
        </w:rPr>
        <w:t>to build</w:t>
      </w:r>
      <w:r w:rsidRPr="006008C1">
        <w:rPr>
          <w:lang w:val="en-GB"/>
        </w:rPr>
        <w:t xml:space="preserve"> knowledge and skills. In addition, they attended a presentation of digital learning games implemented by the Creative</w:t>
      </w:r>
      <w:r>
        <w:rPr>
          <w:lang w:val="en-GB"/>
        </w:rPr>
        <w:t xml:space="preserve"> </w:t>
      </w:r>
      <w:r w:rsidRPr="006008C1">
        <w:rPr>
          <w:lang w:val="en-GB"/>
        </w:rPr>
        <w:t xml:space="preserve">Technologies </w:t>
      </w:r>
      <w:r>
        <w:rPr>
          <w:lang w:val="en-GB"/>
        </w:rPr>
        <w:t>Learning Lab research team</w:t>
      </w:r>
      <w:r w:rsidRPr="006008C1">
        <w:rPr>
          <w:lang w:val="en-GB"/>
        </w:rPr>
        <w:t xml:space="preserve"> through research activities. Finally, they participated in an experiential workshop designing learning games in groups to raise awareness on sustainability issues and responsible </w:t>
      </w:r>
      <w:r>
        <w:rPr>
          <w:lang w:val="en-GB"/>
        </w:rPr>
        <w:t>behaviour</w:t>
      </w:r>
      <w:r w:rsidRPr="006008C1">
        <w:rPr>
          <w:lang w:val="en-GB"/>
        </w:rPr>
        <w:t xml:space="preserve"> towards the environment, </w:t>
      </w:r>
      <w:r>
        <w:rPr>
          <w:lang w:val="en-GB"/>
        </w:rPr>
        <w:t>emphasising</w:t>
      </w:r>
      <w:r w:rsidRPr="006008C1">
        <w:rPr>
          <w:lang w:val="en-GB"/>
        </w:rPr>
        <w:t xml:space="preserve"> the rules, the story, the world, and the characters of the game</w:t>
      </w:r>
      <w:r>
        <w:rPr>
          <w:lang w:val="en-GB"/>
        </w:rPr>
        <w:t>s. The</w:t>
      </w:r>
      <w:r w:rsidRPr="006008C1">
        <w:rPr>
          <w:lang w:val="en-GB"/>
        </w:rPr>
        <w:t xml:space="preserve"> games designed concerned natural resource management, environmental protection, and recycling. </w:t>
      </w:r>
    </w:p>
    <w:p w14:paraId="640C56FA" w14:textId="628356BD" w:rsidR="00442387" w:rsidRPr="00442387" w:rsidRDefault="006008C1" w:rsidP="006008C1">
      <w:pPr>
        <w:rPr>
          <w:lang w:val="en-GB"/>
        </w:rPr>
      </w:pPr>
      <w:r w:rsidRPr="006008C1">
        <w:rPr>
          <w:lang w:val="en-GB"/>
        </w:rPr>
        <w:t xml:space="preserve">The </w:t>
      </w:r>
      <w:r>
        <w:rPr>
          <w:lang w:val="en-GB"/>
        </w:rPr>
        <w:t>activity</w:t>
      </w:r>
      <w:r w:rsidRPr="006008C1">
        <w:rPr>
          <w:lang w:val="en-GB"/>
        </w:rPr>
        <w:t xml:space="preserve"> took place in the framework of the research project </w:t>
      </w:r>
      <w:proofErr w:type="spellStart"/>
      <w:r w:rsidRPr="006008C1">
        <w:rPr>
          <w:lang w:val="en-GB"/>
        </w:rPr>
        <w:t>BuildAsNature</w:t>
      </w:r>
      <w:proofErr w:type="spellEnd"/>
      <w:r w:rsidRPr="006008C1">
        <w:rPr>
          <w:lang w:val="en-GB"/>
        </w:rPr>
        <w:t>: Serious Games for Nature-based Solution</w:t>
      </w:r>
      <w:r>
        <w:rPr>
          <w:lang w:val="en-GB"/>
        </w:rPr>
        <w:t>s,</w:t>
      </w:r>
      <w:r w:rsidRPr="006008C1">
        <w:rPr>
          <w:lang w:val="en-GB"/>
        </w:rPr>
        <w:t xml:space="preserve"> funded by the Erasmus+ program and implemented from 2024 to 2026 with the participation of the University of Thessaly and educational </w:t>
      </w:r>
      <w:r>
        <w:rPr>
          <w:lang w:val="en-GB"/>
        </w:rPr>
        <w:t>organisations</w:t>
      </w:r>
      <w:r w:rsidRPr="006008C1">
        <w:rPr>
          <w:lang w:val="en-GB"/>
        </w:rPr>
        <w:t xml:space="preserve"> from Germany, Iceland, Estonia, and Portugal. </w:t>
      </w:r>
    </w:p>
    <w:sectPr w:rsidR="00442387" w:rsidRPr="00442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9"/>
    <w:rsid w:val="000026D5"/>
    <w:rsid w:val="00057E79"/>
    <w:rsid w:val="00073EF4"/>
    <w:rsid w:val="000807D6"/>
    <w:rsid w:val="001045E8"/>
    <w:rsid w:val="00160F84"/>
    <w:rsid w:val="00190D04"/>
    <w:rsid w:val="00201F5C"/>
    <w:rsid w:val="002063A2"/>
    <w:rsid w:val="002D0074"/>
    <w:rsid w:val="002D4A9B"/>
    <w:rsid w:val="00301E95"/>
    <w:rsid w:val="003567F5"/>
    <w:rsid w:val="0039069E"/>
    <w:rsid w:val="00442387"/>
    <w:rsid w:val="00462A1B"/>
    <w:rsid w:val="0046429A"/>
    <w:rsid w:val="00480CE0"/>
    <w:rsid w:val="00487136"/>
    <w:rsid w:val="00487558"/>
    <w:rsid w:val="004C55C3"/>
    <w:rsid w:val="004F349D"/>
    <w:rsid w:val="00505A8B"/>
    <w:rsid w:val="00583CA4"/>
    <w:rsid w:val="0058635D"/>
    <w:rsid w:val="005863EE"/>
    <w:rsid w:val="005B6244"/>
    <w:rsid w:val="005D007F"/>
    <w:rsid w:val="006008C1"/>
    <w:rsid w:val="00631F87"/>
    <w:rsid w:val="00632D74"/>
    <w:rsid w:val="0063407E"/>
    <w:rsid w:val="00667A8F"/>
    <w:rsid w:val="006827F6"/>
    <w:rsid w:val="006C3B22"/>
    <w:rsid w:val="00740A9F"/>
    <w:rsid w:val="007503B6"/>
    <w:rsid w:val="00756C08"/>
    <w:rsid w:val="007B3E10"/>
    <w:rsid w:val="007E5C9F"/>
    <w:rsid w:val="007F02A5"/>
    <w:rsid w:val="007F0AE0"/>
    <w:rsid w:val="008A3832"/>
    <w:rsid w:val="008C7C45"/>
    <w:rsid w:val="008D5EA0"/>
    <w:rsid w:val="0096455F"/>
    <w:rsid w:val="0098433D"/>
    <w:rsid w:val="009941D3"/>
    <w:rsid w:val="009C2D56"/>
    <w:rsid w:val="009C375C"/>
    <w:rsid w:val="009D767A"/>
    <w:rsid w:val="00A02DDF"/>
    <w:rsid w:val="00A15DD8"/>
    <w:rsid w:val="00A94307"/>
    <w:rsid w:val="00AA611F"/>
    <w:rsid w:val="00AB51AE"/>
    <w:rsid w:val="00AC0147"/>
    <w:rsid w:val="00AD4327"/>
    <w:rsid w:val="00AD797D"/>
    <w:rsid w:val="00B242A1"/>
    <w:rsid w:val="00B27F77"/>
    <w:rsid w:val="00BA015F"/>
    <w:rsid w:val="00BA5975"/>
    <w:rsid w:val="00BC2EC0"/>
    <w:rsid w:val="00C7030B"/>
    <w:rsid w:val="00C81BF9"/>
    <w:rsid w:val="00CB23A5"/>
    <w:rsid w:val="00CF4D3F"/>
    <w:rsid w:val="00CF5567"/>
    <w:rsid w:val="00D130C9"/>
    <w:rsid w:val="00D50EAE"/>
    <w:rsid w:val="00DD59CC"/>
    <w:rsid w:val="00DF1F66"/>
    <w:rsid w:val="00E239D6"/>
    <w:rsid w:val="00E47DD7"/>
    <w:rsid w:val="00E65471"/>
    <w:rsid w:val="00E80748"/>
    <w:rsid w:val="00E909DF"/>
    <w:rsid w:val="00EA7BBC"/>
    <w:rsid w:val="00ED5862"/>
    <w:rsid w:val="00F469B1"/>
    <w:rsid w:val="00F52ECF"/>
    <w:rsid w:val="00F734AD"/>
    <w:rsid w:val="00F80875"/>
    <w:rsid w:val="00FE4E1B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2C2DC"/>
  <w15:chartTrackingRefBased/>
  <w15:docId w15:val="{05107D48-655C-434F-B4A1-6DE1241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E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8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063A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7F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5078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1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8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38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4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25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ll.e-ce.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tll.e-ce.uth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F864-3179-4F33-96D7-3279124B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441</Words>
  <Characters>2851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Tsalapata Hariklia</cp:lastModifiedBy>
  <cp:revision>84</cp:revision>
  <dcterms:created xsi:type="dcterms:W3CDTF">2024-10-23T15:00:00Z</dcterms:created>
  <dcterms:modified xsi:type="dcterms:W3CDTF">2025-01-16T16:55:00Z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3536cd696c88f1a5f3d345a5e1d93124711b221811a22e85fd42cc5ba07275f5</vt:lpwstr>
  </property>
</Properties>
</file>