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E2A79" w14:textId="77777777" w:rsidR="00B41AEC" w:rsidRDefault="00B41AEC" w:rsidP="00B41AEC">
      <w:pPr>
        <w:jc w:val="both"/>
        <w:rPr>
          <w:rFonts w:ascii="Aptos" w:hAnsi="Aptos"/>
          <w:lang w:val="el-GR"/>
        </w:rPr>
      </w:pPr>
    </w:p>
    <w:p w14:paraId="60A84759" w14:textId="5C4BEC5D" w:rsidR="00B41AEC" w:rsidRPr="00B41AEC" w:rsidRDefault="00B41AEC" w:rsidP="00B41AEC">
      <w:pPr>
        <w:jc w:val="center"/>
        <w:rPr>
          <w:rFonts w:ascii="Aptos" w:hAnsi="Aptos"/>
          <w:b/>
          <w:bCs/>
          <w:sz w:val="36"/>
          <w:szCs w:val="36"/>
          <w:lang w:val="el-GR"/>
        </w:rPr>
      </w:pPr>
      <w:r w:rsidRPr="00B41AEC">
        <w:rPr>
          <w:rFonts w:ascii="Aptos" w:hAnsi="Aptos"/>
          <w:b/>
          <w:bCs/>
          <w:sz w:val="36"/>
          <w:szCs w:val="36"/>
          <w:lang w:val="el-GR"/>
        </w:rPr>
        <w:t>ΔΕΛΤΙΟ ΤΥΠΟΥ</w:t>
      </w:r>
    </w:p>
    <w:p w14:paraId="72FEF919" w14:textId="77777777" w:rsidR="00B41AEC" w:rsidRDefault="00B41AEC" w:rsidP="00B41AEC">
      <w:pPr>
        <w:jc w:val="both"/>
        <w:rPr>
          <w:rFonts w:ascii="Aptos" w:hAnsi="Aptos"/>
          <w:lang w:val="el-GR"/>
        </w:rPr>
      </w:pPr>
    </w:p>
    <w:p w14:paraId="3A45F503" w14:textId="77777777" w:rsidR="00B41AEC" w:rsidRDefault="00B41AEC" w:rsidP="00B41AEC">
      <w:pPr>
        <w:jc w:val="both"/>
        <w:rPr>
          <w:rFonts w:ascii="Aptos" w:hAnsi="Aptos"/>
          <w:lang w:val="el-GR"/>
        </w:rPr>
      </w:pPr>
    </w:p>
    <w:p w14:paraId="16BFFBCE" w14:textId="77777777" w:rsidR="00B41AEC" w:rsidRDefault="00B41AEC" w:rsidP="00B41AEC">
      <w:pPr>
        <w:jc w:val="both"/>
        <w:rPr>
          <w:rFonts w:ascii="Aptos" w:hAnsi="Aptos"/>
          <w:lang w:val="el-GR"/>
        </w:rPr>
      </w:pPr>
    </w:p>
    <w:p w14:paraId="240640B2" w14:textId="3AFA0F02" w:rsidR="00B41AEC" w:rsidRDefault="00B41AEC" w:rsidP="00B41AEC">
      <w:pPr>
        <w:jc w:val="both"/>
        <w:rPr>
          <w:rFonts w:ascii="Aptos" w:hAnsi="Aptos"/>
          <w:lang w:val="el-GR"/>
        </w:rPr>
      </w:pPr>
      <w:r>
        <w:rPr>
          <w:rFonts w:ascii="Aptos" w:hAnsi="Aptos"/>
          <w:lang w:val="el-GR"/>
        </w:rPr>
        <w:t xml:space="preserve">Την Δευτέρα </w:t>
      </w:r>
      <w:r w:rsidRPr="00237909">
        <w:rPr>
          <w:rFonts w:ascii="Aptos" w:hAnsi="Aptos"/>
          <w:lang w:val="el-GR"/>
        </w:rPr>
        <w:t>13 Ιανουαρίου 2025 πραγματοποιήθηκε στο Διαχρονικό Μουσείο Λάρισας (ΔΜΛ)</w:t>
      </w:r>
      <w:r>
        <w:rPr>
          <w:rFonts w:ascii="Aptos" w:hAnsi="Aptos"/>
          <w:lang w:val="el-GR"/>
        </w:rPr>
        <w:t xml:space="preserve"> </w:t>
      </w:r>
      <w:r>
        <w:rPr>
          <w:rFonts w:ascii="Aptos" w:hAnsi="Aptos"/>
          <w:lang w:val="el-GR"/>
        </w:rPr>
        <w:t>διαδραστική εκδήλωση</w:t>
      </w:r>
      <w:r w:rsidRPr="00237909">
        <w:rPr>
          <w:rFonts w:ascii="Aptos" w:hAnsi="Aptos"/>
          <w:lang w:val="el-GR"/>
        </w:rPr>
        <w:t xml:space="preserve"> σχετικά με τον Παγκόσμιο Κύκλο του Άνθρακα και τη σημασία του για τα Αέρια του Θερμοκηπίου και την Κλιματική Αλλαγή</w:t>
      </w:r>
      <w:r>
        <w:rPr>
          <w:rFonts w:ascii="Aptos" w:hAnsi="Aptos"/>
          <w:lang w:val="el-GR"/>
        </w:rPr>
        <w:t xml:space="preserve"> </w:t>
      </w:r>
      <w:r>
        <w:rPr>
          <w:rFonts w:ascii="Aptos" w:hAnsi="Aptos"/>
          <w:lang w:val="el-GR"/>
        </w:rPr>
        <w:t>από το Τμήμα Βιοχημείας και Βιοτεχνολογίας του Πανεπιστημίου Θεσσαλίας</w:t>
      </w:r>
      <w:r w:rsidRPr="00B41AEC">
        <w:rPr>
          <w:rFonts w:ascii="Aptos" w:hAnsi="Aptos"/>
          <w:lang w:val="el-GR"/>
        </w:rPr>
        <w:t xml:space="preserve"> </w:t>
      </w:r>
      <w:r w:rsidRPr="00237909">
        <w:rPr>
          <w:rFonts w:ascii="Aptos" w:hAnsi="Aptos"/>
          <w:lang w:val="el-GR"/>
        </w:rPr>
        <w:t>υπό την αιγίδα της Εφορείας Αρχαιοτήτων</w:t>
      </w:r>
      <w:r>
        <w:rPr>
          <w:rFonts w:ascii="Aptos" w:hAnsi="Aptos"/>
          <w:lang w:val="el-GR"/>
        </w:rPr>
        <w:t xml:space="preserve">. </w:t>
      </w:r>
    </w:p>
    <w:p w14:paraId="7C3D57E5" w14:textId="77777777" w:rsidR="00B41AEC" w:rsidRDefault="00B41AEC" w:rsidP="00B41AEC">
      <w:pPr>
        <w:jc w:val="both"/>
        <w:rPr>
          <w:rFonts w:ascii="Aptos" w:hAnsi="Aptos"/>
          <w:lang w:val="el-GR"/>
        </w:rPr>
      </w:pPr>
    </w:p>
    <w:p w14:paraId="18723EBB" w14:textId="13CC69F5" w:rsidR="00B41AEC" w:rsidRPr="00237909" w:rsidRDefault="00B41AEC" w:rsidP="00B41AEC">
      <w:pPr>
        <w:jc w:val="both"/>
        <w:rPr>
          <w:rFonts w:ascii="Aptos" w:hAnsi="Aptos"/>
          <w:lang w:val="el-GR"/>
        </w:rPr>
      </w:pPr>
      <w:r>
        <w:rPr>
          <w:rFonts w:ascii="Aptos" w:hAnsi="Aptos"/>
          <w:lang w:val="el-GR"/>
        </w:rPr>
        <w:t xml:space="preserve">Η εκδήλωση οργανώθηκε </w:t>
      </w:r>
      <w:r w:rsidRPr="00237909">
        <w:rPr>
          <w:rFonts w:ascii="Aptos" w:hAnsi="Aptos"/>
          <w:lang w:val="el-GR"/>
        </w:rPr>
        <w:t>στα πλαίσια της συμπλήρωσης 25 ετών από τη δημιουργία του Τμήματος Βιοχημείας και Βιοτεχνολογίας του ΠΘ</w:t>
      </w:r>
      <w:r>
        <w:rPr>
          <w:rFonts w:ascii="Aptos" w:hAnsi="Aptos"/>
          <w:lang w:val="el-GR"/>
        </w:rPr>
        <w:t xml:space="preserve"> και στόχευε στην ανάδειξη του περιβάλλοντος </w:t>
      </w:r>
      <w:r w:rsidRPr="00237909">
        <w:rPr>
          <w:rFonts w:ascii="Aptos" w:hAnsi="Aptos"/>
          <w:lang w:val="el-GR"/>
        </w:rPr>
        <w:t>αλσύλλιο</w:t>
      </w:r>
      <w:r>
        <w:rPr>
          <w:rFonts w:ascii="Aptos" w:hAnsi="Aptos"/>
          <w:lang w:val="el-GR"/>
        </w:rPr>
        <w:t>υ του ΔΜΛ ως δεξαμενή άνθρακα καθηλωμένου στα δένδρα</w:t>
      </w:r>
      <w:r w:rsidRPr="00237909">
        <w:rPr>
          <w:rFonts w:ascii="Aptos" w:hAnsi="Aptos"/>
          <w:lang w:val="el-GR"/>
        </w:rPr>
        <w:t>. Στα πλαίσια αυτά αναλύθηκε η σημασία ενώσεων του άνθρακα όπως το διοξείδιο του άνθρακα, το μεθάνιο και οι φθοριωμένες ενώσεις άνθρακα για την αύξηση της παγκόσμιας θερμοκρασίας</w:t>
      </w:r>
      <w:r>
        <w:rPr>
          <w:rFonts w:ascii="Aptos" w:hAnsi="Aptos"/>
          <w:lang w:val="el-GR"/>
        </w:rPr>
        <w:t xml:space="preserve"> και ο ρόλος των φυτών στη δέσμευση του διοξειδίου του άνθρακα και στη μείωση των αερίων του θερμοκηπίου</w:t>
      </w:r>
      <w:r w:rsidRPr="00237909">
        <w:rPr>
          <w:rFonts w:ascii="Aptos" w:hAnsi="Aptos"/>
          <w:lang w:val="el-GR"/>
        </w:rPr>
        <w:t>. Επιπρόσθετα</w:t>
      </w:r>
      <w:r w:rsidR="00C41F68">
        <w:rPr>
          <w:rFonts w:ascii="Aptos" w:hAnsi="Aptos"/>
          <w:lang w:val="el-GR"/>
        </w:rPr>
        <w:t>,</w:t>
      </w:r>
      <w:r w:rsidRPr="00237909">
        <w:rPr>
          <w:rFonts w:ascii="Aptos" w:hAnsi="Aptos"/>
          <w:lang w:val="el-GR"/>
        </w:rPr>
        <w:t xml:space="preserve"> συζητήθηκαν οι πηγές </w:t>
      </w:r>
      <w:r>
        <w:rPr>
          <w:rFonts w:ascii="Aptos" w:hAnsi="Aptos"/>
          <w:lang w:val="el-GR"/>
        </w:rPr>
        <w:t>των αερίων ενώσεων του άνθρακα</w:t>
      </w:r>
      <w:r w:rsidRPr="00237909">
        <w:rPr>
          <w:rFonts w:ascii="Aptos" w:hAnsi="Aptos"/>
          <w:lang w:val="el-GR"/>
        </w:rPr>
        <w:t>, οι παγκόσμιες συμφωνίες που έχουν ως τώρα επιτευχθεί, αλλά και το τι επιπλέον απαιτείται προκειμένου να υπάρξει ένα βιώσιμο μέλλον για την ζωή στον πλανήτη όπως τη γνωρίζουμε, σύμφωνα με τα ως τώρα δεδομένα και τις επιστημονικές προγνώσεις.</w:t>
      </w:r>
    </w:p>
    <w:p w14:paraId="71DD5C41" w14:textId="77777777" w:rsidR="00B41AEC" w:rsidRPr="00237909" w:rsidRDefault="00B41AEC" w:rsidP="00B41AEC">
      <w:pPr>
        <w:jc w:val="both"/>
        <w:rPr>
          <w:rFonts w:ascii="Aptos" w:hAnsi="Aptos"/>
          <w:lang w:val="el-GR"/>
        </w:rPr>
      </w:pPr>
    </w:p>
    <w:p w14:paraId="5CA0395A" w14:textId="77777777" w:rsidR="00DA4B35" w:rsidRDefault="00B41AEC" w:rsidP="00B41AEC">
      <w:pPr>
        <w:jc w:val="both"/>
        <w:rPr>
          <w:rFonts w:ascii="Aptos" w:hAnsi="Aptos"/>
          <w:lang w:val="el-GR"/>
        </w:rPr>
      </w:pPr>
      <w:r w:rsidRPr="00237909">
        <w:rPr>
          <w:rFonts w:ascii="Aptos" w:hAnsi="Aptos"/>
          <w:lang w:val="el-GR"/>
        </w:rPr>
        <w:t>Κατά την ημερίδα παρουσιάστηκαν: (</w:t>
      </w:r>
      <w:proofErr w:type="spellStart"/>
      <w:r w:rsidRPr="00237909">
        <w:rPr>
          <w:rFonts w:ascii="Aptos" w:hAnsi="Aptos"/>
          <w:lang w:val="en-US"/>
        </w:rPr>
        <w:t>i</w:t>
      </w:r>
      <w:proofErr w:type="spellEnd"/>
      <w:r w:rsidRPr="00237909">
        <w:rPr>
          <w:rFonts w:ascii="Aptos" w:hAnsi="Aptos"/>
          <w:lang w:val="el-GR"/>
        </w:rPr>
        <w:t>) δεδομένα αναφορών του Οργανισμού Ηνωμένων Εθνών που αφορούν την παρούσα κατάσταση, (</w:t>
      </w:r>
      <w:r w:rsidRPr="00237909">
        <w:rPr>
          <w:rFonts w:ascii="Aptos" w:hAnsi="Aptos"/>
          <w:lang w:val="en-US"/>
        </w:rPr>
        <w:t>ii</w:t>
      </w:r>
      <w:r w:rsidRPr="00237909">
        <w:rPr>
          <w:rFonts w:ascii="Aptos" w:hAnsi="Aptos"/>
          <w:lang w:val="el-GR"/>
        </w:rPr>
        <w:t xml:space="preserve">) δεδομένα παγκοσμίων επιστημονικών πρωτοβουλιών όπως αυτή του </w:t>
      </w:r>
      <w:r w:rsidRPr="00237909">
        <w:rPr>
          <w:rFonts w:ascii="Aptos" w:hAnsi="Aptos"/>
          <w:lang w:val="en-US"/>
        </w:rPr>
        <w:t>Global</w:t>
      </w:r>
      <w:r w:rsidRPr="00237909">
        <w:rPr>
          <w:rFonts w:ascii="Aptos" w:hAnsi="Aptos"/>
          <w:lang w:val="el-GR"/>
        </w:rPr>
        <w:t xml:space="preserve"> </w:t>
      </w:r>
      <w:r w:rsidRPr="00237909">
        <w:rPr>
          <w:rFonts w:ascii="Aptos" w:hAnsi="Aptos"/>
          <w:lang w:val="en-US"/>
        </w:rPr>
        <w:t>Carbon</w:t>
      </w:r>
      <w:r w:rsidRPr="00237909">
        <w:rPr>
          <w:rFonts w:ascii="Aptos" w:hAnsi="Aptos"/>
          <w:lang w:val="el-GR"/>
        </w:rPr>
        <w:t xml:space="preserve"> </w:t>
      </w:r>
      <w:r w:rsidRPr="00237909">
        <w:rPr>
          <w:rFonts w:ascii="Aptos" w:hAnsi="Aptos"/>
          <w:lang w:val="en-US"/>
        </w:rPr>
        <w:t>Project</w:t>
      </w:r>
      <w:r w:rsidRPr="00237909">
        <w:rPr>
          <w:rFonts w:ascii="Aptos" w:hAnsi="Aptos"/>
          <w:lang w:val="el-GR"/>
        </w:rPr>
        <w:t xml:space="preserve"> (</w:t>
      </w:r>
      <w:hyperlink r:id="rId7" w:history="1">
        <w:r w:rsidRPr="00237909">
          <w:rPr>
            <w:rStyle w:val="Hyperlink"/>
            <w:rFonts w:ascii="Aptos" w:hAnsi="Aptos"/>
          </w:rPr>
          <w:t>https</w:t>
        </w:r>
        <w:r w:rsidRPr="00237909">
          <w:rPr>
            <w:rStyle w:val="Hyperlink"/>
            <w:rFonts w:ascii="Aptos" w:hAnsi="Aptos"/>
            <w:lang w:val="el-GR"/>
          </w:rPr>
          <w:t>://</w:t>
        </w:r>
        <w:r w:rsidRPr="00237909">
          <w:rPr>
            <w:rStyle w:val="Hyperlink"/>
            <w:rFonts w:ascii="Aptos" w:hAnsi="Aptos"/>
          </w:rPr>
          <w:t>www</w:t>
        </w:r>
        <w:r w:rsidRPr="00237909">
          <w:rPr>
            <w:rStyle w:val="Hyperlink"/>
            <w:rFonts w:ascii="Aptos" w:hAnsi="Aptos"/>
            <w:lang w:val="el-GR"/>
          </w:rPr>
          <w:t>.</w:t>
        </w:r>
        <w:r w:rsidRPr="00237909">
          <w:rPr>
            <w:rStyle w:val="Hyperlink"/>
            <w:rFonts w:ascii="Aptos" w:hAnsi="Aptos"/>
          </w:rPr>
          <w:t>globalcarbonproject</w:t>
        </w:r>
        <w:r w:rsidRPr="00237909">
          <w:rPr>
            <w:rStyle w:val="Hyperlink"/>
            <w:rFonts w:ascii="Aptos" w:hAnsi="Aptos"/>
            <w:lang w:val="el-GR"/>
          </w:rPr>
          <w:t>.</w:t>
        </w:r>
        <w:r w:rsidRPr="00237909">
          <w:rPr>
            <w:rStyle w:val="Hyperlink"/>
            <w:rFonts w:ascii="Aptos" w:hAnsi="Aptos"/>
          </w:rPr>
          <w:t>org</w:t>
        </w:r>
        <w:r w:rsidRPr="00237909">
          <w:rPr>
            <w:rStyle w:val="Hyperlink"/>
            <w:rFonts w:ascii="Aptos" w:hAnsi="Aptos"/>
            <w:lang w:val="el-GR"/>
          </w:rPr>
          <w:t>/</w:t>
        </w:r>
      </w:hyperlink>
      <w:r w:rsidRPr="00237909">
        <w:rPr>
          <w:rFonts w:ascii="Aptos" w:hAnsi="Aptos"/>
          <w:lang w:val="el-GR"/>
        </w:rPr>
        <w:t>), (</w:t>
      </w:r>
      <w:r w:rsidRPr="00237909">
        <w:rPr>
          <w:rFonts w:ascii="Aptos" w:hAnsi="Aptos"/>
          <w:lang w:val="en-US"/>
        </w:rPr>
        <w:t>iii</w:t>
      </w:r>
      <w:r w:rsidRPr="00237909">
        <w:rPr>
          <w:rFonts w:ascii="Aptos" w:hAnsi="Aptos"/>
          <w:lang w:val="el-GR"/>
        </w:rPr>
        <w:t>) δεδομένα εκλαϊκευμένων άρθρων έγκριτων επιστημονικών περιοδικών (</w:t>
      </w:r>
      <w:hyperlink r:id="rId8" w:history="1">
        <w:r w:rsidRPr="00237909">
          <w:rPr>
            <w:rStyle w:val="Hyperlink"/>
            <w:rFonts w:ascii="Aptos" w:hAnsi="Aptos"/>
            <w:lang w:val="el-GR"/>
          </w:rPr>
          <w:t>https://www.nature.com/immersive/d41586-023-03601-6/index.html</w:t>
        </w:r>
      </w:hyperlink>
      <w:r w:rsidRPr="00237909">
        <w:rPr>
          <w:rFonts w:ascii="Aptos" w:hAnsi="Aptos"/>
          <w:lang w:val="el-GR"/>
        </w:rPr>
        <w:t xml:space="preserve">, </w:t>
      </w:r>
      <w:hyperlink r:id="rId9" w:history="1">
        <w:r w:rsidRPr="00237909">
          <w:rPr>
            <w:rStyle w:val="Hyperlink"/>
            <w:rFonts w:ascii="Aptos" w:hAnsi="Aptos"/>
            <w:lang w:val="el-GR"/>
          </w:rPr>
          <w:t>https://www.nature.com/articles/d41586-024-04242-z</w:t>
        </w:r>
      </w:hyperlink>
      <w:r w:rsidRPr="00237909">
        <w:rPr>
          <w:rFonts w:ascii="Aptos" w:hAnsi="Aptos"/>
          <w:lang w:val="el-GR"/>
        </w:rPr>
        <w:t>), (</w:t>
      </w:r>
      <w:r w:rsidRPr="00237909">
        <w:rPr>
          <w:rFonts w:ascii="Aptos" w:hAnsi="Aptos"/>
          <w:lang w:val="en-US"/>
        </w:rPr>
        <w:t>iv</w:t>
      </w:r>
      <w:r w:rsidRPr="00237909">
        <w:rPr>
          <w:rFonts w:ascii="Aptos" w:hAnsi="Aptos"/>
          <w:lang w:val="el-GR"/>
        </w:rPr>
        <w:t xml:space="preserve">) συγκριτικά δεδομένα ως προς τα προ-βιομηχανικής επανάστασης επίπεδα αερίων του θερμοκηπίου που προέκυψαν από επιστημονικές ερευνητικές δράσεις, και προγνωστικά παλαιότερων εποχών σύμφωνα με τα πλαίσια των σημαντικών συμφωνιών που πραγματοποιήθηκαν στα περιθώρια των συνεδρίων του Κιότο (1997 με εφαρμογή το 2005) και των Παρισίων (2015), μετά τη συμφωνία του συνεδρίου του Μόντρεαλ (1987). </w:t>
      </w:r>
    </w:p>
    <w:p w14:paraId="6AE78F71" w14:textId="77777777" w:rsidR="00DA4B35" w:rsidRDefault="00DA4B35" w:rsidP="00B41AEC">
      <w:pPr>
        <w:jc w:val="both"/>
        <w:rPr>
          <w:rFonts w:ascii="Aptos" w:hAnsi="Aptos"/>
          <w:lang w:val="el-GR"/>
        </w:rPr>
      </w:pPr>
    </w:p>
    <w:p w14:paraId="0E5BFE97" w14:textId="3C0F72CA" w:rsidR="00B41AEC" w:rsidRDefault="00B41AEC" w:rsidP="00B41AEC">
      <w:pPr>
        <w:jc w:val="both"/>
        <w:rPr>
          <w:rFonts w:ascii="Aptos" w:hAnsi="Aptos"/>
          <w:lang w:val="el-GR"/>
        </w:rPr>
      </w:pPr>
      <w:r w:rsidRPr="00237909">
        <w:rPr>
          <w:rFonts w:ascii="Aptos" w:hAnsi="Aptos"/>
          <w:lang w:val="el-GR"/>
        </w:rPr>
        <w:t>Η διάλεξη ενείχε ζωντανό διάλογο και υψηλό ποσοστό συμμετοχής στη συζήτηση με τους φοιτητές που την παρακολούθησαν με μεγάλο ενδιαφέρον και εξέφρασαν τις ανησυχίες τους.</w:t>
      </w:r>
      <w:r w:rsidR="00DA4B35">
        <w:rPr>
          <w:rFonts w:ascii="Aptos" w:hAnsi="Aptos"/>
          <w:lang w:val="el-GR"/>
        </w:rPr>
        <w:t xml:space="preserve"> </w:t>
      </w:r>
      <w:r>
        <w:rPr>
          <w:rFonts w:ascii="Aptos" w:hAnsi="Aptos"/>
          <w:lang w:val="el-GR"/>
        </w:rPr>
        <w:t xml:space="preserve">Η </w:t>
      </w:r>
      <w:r w:rsidRPr="00237909">
        <w:rPr>
          <w:rFonts w:ascii="Aptos" w:hAnsi="Aptos"/>
          <w:lang w:val="el-GR"/>
        </w:rPr>
        <w:t xml:space="preserve">διάλεξη </w:t>
      </w:r>
      <w:r>
        <w:rPr>
          <w:rFonts w:ascii="Aptos" w:hAnsi="Aptos"/>
          <w:lang w:val="el-GR"/>
        </w:rPr>
        <w:t xml:space="preserve">ολοκληρώθηκε με την παρουσίαση </w:t>
      </w:r>
      <w:r w:rsidRPr="00237909">
        <w:rPr>
          <w:rFonts w:ascii="Aptos" w:hAnsi="Aptos"/>
          <w:lang w:val="el-GR"/>
        </w:rPr>
        <w:t>πρωτ</w:t>
      </w:r>
      <w:r>
        <w:rPr>
          <w:rFonts w:ascii="Aptos" w:hAnsi="Aptos"/>
          <w:lang w:val="el-GR"/>
        </w:rPr>
        <w:t xml:space="preserve">οκόλλων </w:t>
      </w:r>
      <w:r w:rsidRPr="00237909">
        <w:rPr>
          <w:rFonts w:ascii="Aptos" w:hAnsi="Aptos"/>
          <w:lang w:val="el-GR"/>
        </w:rPr>
        <w:t xml:space="preserve">εκτίμησης του δεσμευμένου άνθρακα σε δασικές συστάδες, που ακολουθήθηκε από την ενεργή και ενθουσιώδη συμμετοχή των φοιτητών </w:t>
      </w:r>
      <w:r>
        <w:rPr>
          <w:rFonts w:ascii="Aptos" w:hAnsi="Aptos"/>
          <w:lang w:val="el-GR"/>
        </w:rPr>
        <w:t>στην</w:t>
      </w:r>
      <w:r w:rsidRPr="00237909">
        <w:rPr>
          <w:rFonts w:ascii="Aptos" w:hAnsi="Aptos"/>
          <w:lang w:val="el-GR"/>
        </w:rPr>
        <w:t xml:space="preserve"> </w:t>
      </w:r>
      <w:r w:rsidR="00DA4B35">
        <w:rPr>
          <w:rFonts w:ascii="Aptos" w:hAnsi="Aptos"/>
          <w:lang w:val="el-GR"/>
        </w:rPr>
        <w:t xml:space="preserve">εφαρμογή αυτών των πρωτοκόλλων για την </w:t>
      </w:r>
      <w:r w:rsidRPr="00237909">
        <w:rPr>
          <w:rFonts w:ascii="Aptos" w:hAnsi="Aptos"/>
          <w:lang w:val="el-GR"/>
        </w:rPr>
        <w:t xml:space="preserve">εκτίμηση του δεσμευμένου άνθρακα στο τεχνητό αλσύλλιο κωνοφόρων που δεσπόζει στην είσοδο του ΔΜΛ (Εικόνα 1). Το αλσύλλιο χωρίστηκε σε 5 τμήματα και πέντε ομάδες φοιτητών </w:t>
      </w:r>
      <w:r w:rsidR="00DA4B35">
        <w:rPr>
          <w:rFonts w:ascii="Aptos" w:hAnsi="Aptos"/>
          <w:lang w:val="el-GR"/>
        </w:rPr>
        <w:t>εκτίμησαν</w:t>
      </w:r>
      <w:r w:rsidRPr="00237909">
        <w:rPr>
          <w:rFonts w:ascii="Aptos" w:hAnsi="Aptos"/>
          <w:lang w:val="el-GR"/>
        </w:rPr>
        <w:t xml:space="preserve"> τον </w:t>
      </w:r>
      <w:r w:rsidR="00DA4B35">
        <w:rPr>
          <w:rFonts w:ascii="Aptos" w:hAnsi="Aptos"/>
          <w:lang w:val="el-GR"/>
        </w:rPr>
        <w:t xml:space="preserve">δεσμευμένο </w:t>
      </w:r>
      <w:r w:rsidRPr="00237909">
        <w:rPr>
          <w:rFonts w:ascii="Aptos" w:hAnsi="Aptos"/>
          <w:lang w:val="el-GR"/>
        </w:rPr>
        <w:t xml:space="preserve">άνθρακα </w:t>
      </w:r>
      <w:r w:rsidR="00DA4B35">
        <w:rPr>
          <w:rFonts w:ascii="Aptos" w:hAnsi="Aptos"/>
          <w:lang w:val="el-GR"/>
        </w:rPr>
        <w:t xml:space="preserve">σε </w:t>
      </w:r>
      <w:r w:rsidRPr="00237909">
        <w:rPr>
          <w:rFonts w:ascii="Aptos" w:hAnsi="Aptos"/>
          <w:lang w:val="el-GR"/>
        </w:rPr>
        <w:t>κάθε μία από αυτές με τη χρήση της μεθόδου των αλλομετρικών εξισώσεων. Συλλογικά, υπολογίστηκε ότι ο περιβάλλοντας χώρος του ΔΜΛ περιέχει δεσμευμένο κατά μέσο όρο περί τους 11 τόνους άνθρακα ανά στρέμμα σε μία συνολική έκταση 70 περίπου στρεμμάτων (770 μετρικούς τόνους άνθρακα συνολικά).</w:t>
      </w:r>
    </w:p>
    <w:p w14:paraId="04E4C7A5" w14:textId="77777777" w:rsidR="00C41F68" w:rsidRDefault="00C41F68" w:rsidP="00B41AEC">
      <w:pPr>
        <w:jc w:val="both"/>
        <w:rPr>
          <w:rFonts w:ascii="Aptos" w:hAnsi="Aptos"/>
          <w:lang w:val="el-GR"/>
        </w:rPr>
      </w:pPr>
    </w:p>
    <w:p w14:paraId="1E874B36" w14:textId="0CF87048" w:rsidR="00C41F68" w:rsidRDefault="00C41F68" w:rsidP="00B41AEC">
      <w:pPr>
        <w:jc w:val="both"/>
        <w:rPr>
          <w:rFonts w:ascii="Aptos" w:hAnsi="Aptos"/>
          <w:lang w:val="el-GR"/>
        </w:rPr>
      </w:pPr>
      <w:r>
        <w:rPr>
          <w:rFonts w:ascii="Aptos" w:hAnsi="Aptos"/>
          <w:lang w:val="el-GR"/>
        </w:rPr>
        <w:lastRenderedPageBreak/>
        <w:t xml:space="preserve">Η εκδήλωση οργανώθηκε από τον Επ. Καθ. Σωτήρη Βασιλειάδη και την Καθ. Κατερίνα Μούτου με την υποστήριξη των μεταδιδακτορικών ερευνητών Ραφαήλ Αγγελακόπουλου και Ανδρέα Τσιπουρλιάνου. Η μέθοδος υπολογισμού δεσμευμένου άνθρακα που χρησιμοποιήθηκε δεν απαιτεί εξειδικευμένο εξοπλισμό και μπορεί εύκολα να εφαρμοστεί για αντίστοιχες εκτιμήσεις και σε άλλους πνεύμονες πράσινου του Δήμου Λαρισαίων. Η ομάδα εργασίας με χαρά θα συνεργαστεί με το Δήμο και τη Διεύθυνση Πρασίνου και σε άλλες εκτιμήσεις. </w:t>
      </w:r>
    </w:p>
    <w:p w14:paraId="6FFB0EFB" w14:textId="2992DB57" w:rsidR="004C7B3F" w:rsidRPr="00237909" w:rsidRDefault="004C7B3F" w:rsidP="00B41AEC">
      <w:pPr>
        <w:jc w:val="both"/>
        <w:rPr>
          <w:rFonts w:ascii="Aptos" w:hAnsi="Aptos"/>
          <w:lang w:val="el-GR"/>
        </w:rPr>
      </w:pPr>
      <w:r>
        <w:rPr>
          <w:rFonts w:ascii="Aptos" w:hAnsi="Aptos"/>
          <w:lang w:val="el-GR"/>
        </w:rPr>
        <w:t>Το Τμήμα Βιοχημείας και Βιοτεχνολογίας απευθύνει ιδιαίτερες ευχαριστίες στην Εφορεία Αρχαιοτήτων Λάρισας που αγκάλιασε την εκδήλωση και στο προσωπικό του ΔΜΛ για όλη την υποστήριξη.</w:t>
      </w:r>
    </w:p>
    <w:p w14:paraId="7A42A15F" w14:textId="77777777" w:rsidR="00B41AEC" w:rsidRPr="00237909" w:rsidRDefault="00B41AEC" w:rsidP="00B41AEC">
      <w:pPr>
        <w:jc w:val="both"/>
        <w:rPr>
          <w:rFonts w:ascii="Aptos" w:hAnsi="Aptos"/>
          <w:lang w:val="el-GR"/>
        </w:rPr>
      </w:pPr>
    </w:p>
    <w:p w14:paraId="6935B464" w14:textId="77777777" w:rsidR="00B41AEC" w:rsidRPr="00237909" w:rsidRDefault="00B41AEC" w:rsidP="00B41AEC">
      <w:pPr>
        <w:jc w:val="both"/>
        <w:rPr>
          <w:rFonts w:ascii="Aptos" w:hAnsi="Aptos"/>
          <w:lang w:val="el-GR"/>
        </w:rPr>
      </w:pPr>
    </w:p>
    <w:p w14:paraId="4C565C56" w14:textId="77777777" w:rsidR="00B41AEC" w:rsidRPr="00237909" w:rsidRDefault="00B41AEC" w:rsidP="00B41AEC">
      <w:pPr>
        <w:jc w:val="both"/>
        <w:rPr>
          <w:rFonts w:ascii="Aptos" w:hAnsi="Aptos"/>
        </w:rPr>
      </w:pPr>
      <w:r w:rsidRPr="00237909">
        <w:rPr>
          <w:rFonts w:ascii="Aptos" w:hAnsi="Aptos"/>
          <w:noProof/>
        </w:rPr>
        <w:drawing>
          <wp:inline distT="0" distB="0" distL="0" distR="0" wp14:anchorId="18FB95C8" wp14:editId="06ADD2E8">
            <wp:extent cx="5731510" cy="2107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731510" cy="2107565"/>
                    </a:xfrm>
                    <a:prstGeom prst="rect">
                      <a:avLst/>
                    </a:prstGeom>
                  </pic:spPr>
                </pic:pic>
              </a:graphicData>
            </a:graphic>
          </wp:inline>
        </w:drawing>
      </w:r>
    </w:p>
    <w:p w14:paraId="28211A52" w14:textId="77777777" w:rsidR="00B41AEC" w:rsidRDefault="00B41AEC" w:rsidP="00B41AEC">
      <w:pPr>
        <w:jc w:val="both"/>
        <w:rPr>
          <w:rFonts w:ascii="Aptos" w:hAnsi="Aptos"/>
          <w:lang w:val="el-GR"/>
        </w:rPr>
      </w:pPr>
      <w:r w:rsidRPr="00237909">
        <w:rPr>
          <w:rFonts w:ascii="Aptos" w:hAnsi="Aptos"/>
          <w:lang w:val="el-GR"/>
        </w:rPr>
        <w:t>Εικόνα 1. Αριστερά) Γράφημα κατανομής άνθρακα (</w:t>
      </w:r>
      <w:r w:rsidRPr="00237909">
        <w:rPr>
          <w:rFonts w:ascii="Aptos" w:hAnsi="Aptos"/>
          <w:lang w:val="en-US"/>
        </w:rPr>
        <w:t>C</w:t>
      </w:r>
      <w:r w:rsidRPr="00237909">
        <w:rPr>
          <w:rFonts w:ascii="Aptos" w:hAnsi="Aptos"/>
          <w:lang w:val="el-GR"/>
        </w:rPr>
        <w:t>) σε τόνους ανά στρέμμα (</w:t>
      </w:r>
      <w:r w:rsidRPr="00237909">
        <w:rPr>
          <w:rFonts w:ascii="Aptos" w:hAnsi="Aptos"/>
          <w:lang w:val="en-US"/>
        </w:rPr>
        <w:t>t</w:t>
      </w:r>
      <w:r w:rsidRPr="00237909">
        <w:rPr>
          <w:rFonts w:ascii="Aptos" w:hAnsi="Aptos"/>
          <w:lang w:val="el-GR"/>
        </w:rPr>
        <w:t xml:space="preserve"> 1000 </w:t>
      </w:r>
      <w:r w:rsidRPr="00237909">
        <w:rPr>
          <w:rFonts w:ascii="Aptos" w:hAnsi="Aptos"/>
          <w:lang w:val="en-US"/>
        </w:rPr>
        <w:t>m</w:t>
      </w:r>
      <w:r w:rsidRPr="00237909">
        <w:rPr>
          <w:rFonts w:ascii="Aptos" w:hAnsi="Aptos"/>
          <w:vertAlign w:val="superscript"/>
          <w:lang w:val="el-GR"/>
        </w:rPr>
        <w:t>-2</w:t>
      </w:r>
      <w:r w:rsidRPr="00237909">
        <w:rPr>
          <w:rFonts w:ascii="Aptos" w:hAnsi="Aptos"/>
          <w:lang w:val="el-GR"/>
        </w:rPr>
        <w:t xml:space="preserve">) κατά τις διάφορες μετρήσεις συλλογικά στο αλσύλλιο κωνοφόρων του ΔΜΛ και ανά περιοχή/τμήμα του. Δεξιά) Περιοχές/τομείς μετρήσεων και συνολική έκταση του αλσυλλίου σύμφωνα με τους χάρτες </w:t>
      </w:r>
      <w:r w:rsidRPr="00237909">
        <w:rPr>
          <w:rFonts w:ascii="Aptos" w:hAnsi="Aptos"/>
          <w:lang w:val="en-US"/>
        </w:rPr>
        <w:t>Google</w:t>
      </w:r>
      <w:r w:rsidRPr="00237909">
        <w:rPr>
          <w:rFonts w:ascii="Aptos" w:hAnsi="Aptos"/>
          <w:lang w:val="el-GR"/>
        </w:rPr>
        <w:t xml:space="preserve"> </w:t>
      </w:r>
      <w:r w:rsidRPr="00237909">
        <w:rPr>
          <w:rFonts w:ascii="Aptos" w:hAnsi="Aptos"/>
          <w:lang w:val="en-US"/>
        </w:rPr>
        <w:t>Maps</w:t>
      </w:r>
      <w:r w:rsidRPr="00237909">
        <w:rPr>
          <w:rFonts w:ascii="Aptos" w:hAnsi="Aptos"/>
          <w:lang w:val="el-GR"/>
        </w:rPr>
        <w:t xml:space="preserve"> (στις 13 Ιανουαρίου 2025).</w:t>
      </w:r>
    </w:p>
    <w:p w14:paraId="526ACE38" w14:textId="77777777" w:rsidR="004C7B3F" w:rsidRDefault="004C7B3F" w:rsidP="00B41AEC">
      <w:pPr>
        <w:jc w:val="both"/>
        <w:rPr>
          <w:rFonts w:ascii="Aptos" w:hAnsi="Aptos"/>
          <w:lang w:val="el-GR"/>
        </w:rPr>
      </w:pPr>
    </w:p>
    <w:p w14:paraId="649D0791" w14:textId="30FDD81A" w:rsidR="004C7B3F" w:rsidRDefault="004C7B3F" w:rsidP="00B41AEC">
      <w:pPr>
        <w:jc w:val="both"/>
        <w:rPr>
          <w:rFonts w:ascii="Aptos" w:hAnsi="Aptos"/>
          <w:lang w:val="el-GR"/>
        </w:rPr>
      </w:pPr>
      <w:r>
        <w:rPr>
          <w:rFonts w:ascii="Aptos" w:hAnsi="Aptos"/>
          <w:lang w:val="el-GR"/>
        </w:rPr>
        <w:t>Ακολουθούν φωτογραφίες από την εκδήλωση.</w:t>
      </w:r>
    </w:p>
    <w:p w14:paraId="3E6674ED" w14:textId="77777777" w:rsidR="00001E17" w:rsidRDefault="00001E17" w:rsidP="00B41AEC">
      <w:pPr>
        <w:jc w:val="both"/>
        <w:rPr>
          <w:rFonts w:ascii="Aptos" w:hAnsi="Aptos"/>
          <w:lang w:val="el-GR"/>
        </w:rPr>
      </w:pPr>
    </w:p>
    <w:p w14:paraId="54360D6F" w14:textId="77777777" w:rsidR="00001E17" w:rsidRDefault="00001E17" w:rsidP="00B41AEC">
      <w:pPr>
        <w:jc w:val="both"/>
        <w:rPr>
          <w:rFonts w:ascii="Aptos" w:hAnsi="Aptos"/>
          <w:lang w:val="el-GR"/>
        </w:rPr>
      </w:pPr>
    </w:p>
    <w:p w14:paraId="67D984F7" w14:textId="77777777" w:rsidR="00001E17" w:rsidRDefault="00001E17" w:rsidP="00B41AEC">
      <w:pPr>
        <w:jc w:val="both"/>
        <w:rPr>
          <w:rFonts w:ascii="Aptos" w:hAnsi="Aptos"/>
          <w:lang w:val="el-GR"/>
        </w:rPr>
      </w:pPr>
      <w:r>
        <w:rPr>
          <w:rFonts w:ascii="Aptos" w:hAnsi="Aptos"/>
          <w:noProof/>
          <w:lang w:val="el-GR"/>
          <w14:ligatures w14:val="standardContextual"/>
        </w:rPr>
        <w:lastRenderedPageBreak/>
        <w:drawing>
          <wp:inline distT="0" distB="0" distL="0" distR="0" wp14:anchorId="673D5E9D" wp14:editId="46C8DD95">
            <wp:extent cx="1989518" cy="2652765"/>
            <wp:effectExtent l="0" t="0" r="0" b="0"/>
            <wp:docPr id="1270533319" name="Picture 2" descr="A person standing in front of a large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3319" name="Picture 2" descr="A person standing in front of a large group of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763" cy="2674426"/>
                    </a:xfrm>
                    <a:prstGeom prst="rect">
                      <a:avLst/>
                    </a:prstGeom>
                  </pic:spPr>
                </pic:pic>
              </a:graphicData>
            </a:graphic>
          </wp:inline>
        </w:drawing>
      </w:r>
    </w:p>
    <w:p w14:paraId="0D6B673F" w14:textId="71EE8E64" w:rsidR="00001E17" w:rsidRDefault="00001E17" w:rsidP="00B41AEC">
      <w:pPr>
        <w:jc w:val="both"/>
        <w:rPr>
          <w:rFonts w:ascii="Aptos" w:hAnsi="Aptos"/>
          <w:lang w:val="el-GR"/>
        </w:rPr>
      </w:pPr>
      <w:r>
        <w:rPr>
          <w:rFonts w:ascii="Aptos" w:hAnsi="Aptos"/>
          <w:noProof/>
          <w:lang w:val="el-GR"/>
          <w14:ligatures w14:val="standardContextual"/>
        </w:rPr>
        <w:drawing>
          <wp:inline distT="0" distB="0" distL="0" distR="0" wp14:anchorId="29581AF0" wp14:editId="1ECA0259">
            <wp:extent cx="4627902" cy="2085786"/>
            <wp:effectExtent l="0" t="0" r="1270" b="0"/>
            <wp:docPr id="407740356" name="Picture 3" descr="A person standing in front of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40356" name="Picture 3" descr="A person standing in front of a crowd of peop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5487" cy="2093712"/>
                    </a:xfrm>
                    <a:prstGeom prst="rect">
                      <a:avLst/>
                    </a:prstGeom>
                  </pic:spPr>
                </pic:pic>
              </a:graphicData>
            </a:graphic>
          </wp:inline>
        </w:drawing>
      </w:r>
    </w:p>
    <w:p w14:paraId="048BE331" w14:textId="77777777" w:rsidR="00001E17" w:rsidRDefault="00001E17" w:rsidP="00B41AEC">
      <w:pPr>
        <w:jc w:val="both"/>
        <w:rPr>
          <w:rFonts w:ascii="Aptos" w:hAnsi="Aptos"/>
          <w:lang w:val="el-GR"/>
        </w:rPr>
      </w:pPr>
    </w:p>
    <w:p w14:paraId="1649564F" w14:textId="6632F084" w:rsidR="00001E17" w:rsidRPr="00237909" w:rsidRDefault="00001E17" w:rsidP="00B41AEC">
      <w:pPr>
        <w:jc w:val="both"/>
        <w:rPr>
          <w:rFonts w:ascii="Aptos" w:hAnsi="Aptos"/>
          <w:lang w:val="el-GR"/>
        </w:rPr>
      </w:pPr>
      <w:r>
        <w:rPr>
          <w:rFonts w:ascii="Aptos" w:hAnsi="Aptos"/>
          <w:noProof/>
          <w:lang w:val="el-GR"/>
          <w14:ligatures w14:val="standardContextual"/>
        </w:rPr>
        <w:drawing>
          <wp:inline distT="0" distB="0" distL="0" distR="0" wp14:anchorId="4B41EEDD" wp14:editId="05977757">
            <wp:extent cx="4627880" cy="2085776"/>
            <wp:effectExtent l="0" t="0" r="1270" b="0"/>
            <wp:docPr id="1729784656"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84656" name="Picture 4" descr="A group of people sitting in chai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1240" cy="2091797"/>
                    </a:xfrm>
                    <a:prstGeom prst="rect">
                      <a:avLst/>
                    </a:prstGeom>
                  </pic:spPr>
                </pic:pic>
              </a:graphicData>
            </a:graphic>
          </wp:inline>
        </w:drawing>
      </w:r>
    </w:p>
    <w:p w14:paraId="5D38EDBF" w14:textId="77777777" w:rsidR="008874D2" w:rsidRDefault="008874D2" w:rsidP="00B41AEC">
      <w:pPr>
        <w:rPr>
          <w:lang w:val="el-GR"/>
        </w:rPr>
      </w:pPr>
    </w:p>
    <w:p w14:paraId="0A545A41" w14:textId="73D7F3F5" w:rsidR="00001E17" w:rsidRDefault="00001E17" w:rsidP="00B41AEC">
      <w:pPr>
        <w:rPr>
          <w:lang w:val="el-GR"/>
        </w:rPr>
      </w:pPr>
    </w:p>
    <w:p w14:paraId="1CB07BE3" w14:textId="77777777" w:rsidR="00A43819" w:rsidRDefault="00A43819" w:rsidP="00B41AEC">
      <w:pPr>
        <w:rPr>
          <w:lang w:val="el-GR"/>
        </w:rPr>
      </w:pPr>
    </w:p>
    <w:p w14:paraId="6FB98E22" w14:textId="77777777" w:rsidR="00A43819" w:rsidRDefault="00A43819" w:rsidP="00B41AEC">
      <w:pPr>
        <w:rPr>
          <w:lang w:val="el-GR"/>
        </w:rPr>
      </w:pPr>
    </w:p>
    <w:p w14:paraId="4969684B" w14:textId="1651A34F" w:rsidR="00A43819" w:rsidRDefault="00A43819" w:rsidP="00B41AEC">
      <w:pPr>
        <w:rPr>
          <w:lang w:val="el-GR"/>
        </w:rPr>
      </w:pPr>
      <w:r>
        <w:rPr>
          <w:noProof/>
          <w:lang w:val="el-GR"/>
          <w14:ligatures w14:val="standardContextual"/>
        </w:rPr>
        <w:lastRenderedPageBreak/>
        <w:drawing>
          <wp:inline distT="0" distB="0" distL="0" distR="0" wp14:anchorId="54F2D867" wp14:editId="7464679B">
            <wp:extent cx="3513244" cy="2628900"/>
            <wp:effectExtent l="0" t="0" r="0" b="0"/>
            <wp:docPr id="56114933" name="Picture 7" descr="A group of 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933" name="Picture 7" descr="A group of people in a fores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2846" cy="2636085"/>
                    </a:xfrm>
                    <a:prstGeom prst="rect">
                      <a:avLst/>
                    </a:prstGeom>
                  </pic:spPr>
                </pic:pic>
              </a:graphicData>
            </a:graphic>
          </wp:inline>
        </w:drawing>
      </w:r>
    </w:p>
    <w:p w14:paraId="04E58D1C" w14:textId="77777777" w:rsidR="00A43819" w:rsidRDefault="00A43819" w:rsidP="00B41AEC">
      <w:pPr>
        <w:rPr>
          <w:lang w:val="el-GR"/>
        </w:rPr>
      </w:pPr>
    </w:p>
    <w:p w14:paraId="78B23FEB" w14:textId="6872BFE0" w:rsidR="00A43819" w:rsidRDefault="00A43819" w:rsidP="00B41AEC">
      <w:pPr>
        <w:rPr>
          <w:lang w:val="el-GR"/>
        </w:rPr>
      </w:pPr>
    </w:p>
    <w:p w14:paraId="635E201D" w14:textId="77777777" w:rsidR="00A43819" w:rsidRDefault="00A43819" w:rsidP="00B41AEC">
      <w:pPr>
        <w:rPr>
          <w:lang w:val="el-GR"/>
        </w:rPr>
      </w:pPr>
    </w:p>
    <w:p w14:paraId="6086FBF5" w14:textId="12AC9B89" w:rsidR="00A43819" w:rsidRDefault="00A43819" w:rsidP="00B41AEC">
      <w:pPr>
        <w:rPr>
          <w:lang w:val="el-GR"/>
        </w:rPr>
      </w:pPr>
      <w:r>
        <w:rPr>
          <w:noProof/>
          <w:lang w:val="el-GR"/>
          <w14:ligatures w14:val="standardContextual"/>
        </w:rPr>
        <w:drawing>
          <wp:inline distT="0" distB="0" distL="0" distR="0" wp14:anchorId="02D78275" wp14:editId="22D8DB5E">
            <wp:extent cx="3335553" cy="2495995"/>
            <wp:effectExtent l="635" t="0" r="0" b="0"/>
            <wp:docPr id="1622010391" name="Picture 9" descr="A person standing behi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10391" name="Picture 9" descr="A person standing behind a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47135" cy="2504662"/>
                    </a:xfrm>
                    <a:prstGeom prst="rect">
                      <a:avLst/>
                    </a:prstGeom>
                  </pic:spPr>
                </pic:pic>
              </a:graphicData>
            </a:graphic>
          </wp:inline>
        </w:drawing>
      </w:r>
    </w:p>
    <w:p w14:paraId="39EAA088" w14:textId="77777777" w:rsidR="00A43819" w:rsidRDefault="00A43819" w:rsidP="00B41AEC">
      <w:pPr>
        <w:rPr>
          <w:lang w:val="el-GR"/>
        </w:rPr>
      </w:pPr>
    </w:p>
    <w:p w14:paraId="75DDB615" w14:textId="588A24AE" w:rsidR="00A43819" w:rsidRDefault="00A43819" w:rsidP="00B41AEC">
      <w:pPr>
        <w:rPr>
          <w:lang w:val="el-GR"/>
        </w:rPr>
      </w:pPr>
      <w:r>
        <w:rPr>
          <w:noProof/>
          <w:lang w:val="el-GR"/>
          <w14:ligatures w14:val="standardContextual"/>
        </w:rPr>
        <w:lastRenderedPageBreak/>
        <w:drawing>
          <wp:inline distT="0" distB="0" distL="0" distR="0" wp14:anchorId="46ADFDFA" wp14:editId="4DF3F3B2">
            <wp:extent cx="3302601" cy="2471337"/>
            <wp:effectExtent l="0" t="3493" r="9208" b="9207"/>
            <wp:docPr id="604241249" name="Picture 10" descr="A person with backpack walk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41249" name="Picture 10" descr="A person with backpack walking on gr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28519" cy="2490731"/>
                    </a:xfrm>
                    <a:prstGeom prst="rect">
                      <a:avLst/>
                    </a:prstGeom>
                  </pic:spPr>
                </pic:pic>
              </a:graphicData>
            </a:graphic>
          </wp:inline>
        </w:drawing>
      </w:r>
    </w:p>
    <w:p w14:paraId="07C2FA2E" w14:textId="77777777" w:rsidR="00A43819" w:rsidRDefault="00A43819" w:rsidP="00B41AEC">
      <w:pPr>
        <w:rPr>
          <w:lang w:val="el-GR"/>
        </w:rPr>
      </w:pPr>
    </w:p>
    <w:p w14:paraId="6C0E323A" w14:textId="464E8C37" w:rsidR="00A43819" w:rsidRDefault="00A43819" w:rsidP="00B41AEC">
      <w:pPr>
        <w:rPr>
          <w:lang w:val="el-GR"/>
        </w:rPr>
      </w:pPr>
      <w:r>
        <w:rPr>
          <w:noProof/>
          <w:lang w:val="el-GR"/>
          <w14:ligatures w14:val="standardContextual"/>
        </w:rPr>
        <w:drawing>
          <wp:inline distT="0" distB="0" distL="0" distR="0" wp14:anchorId="4E6603B4" wp14:editId="5523800A">
            <wp:extent cx="3996952" cy="2990850"/>
            <wp:effectExtent l="0" t="0" r="3810" b="0"/>
            <wp:docPr id="985039540" name="Picture 11"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39540" name="Picture 11" descr="A group of people in a pa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1472" cy="2994232"/>
                    </a:xfrm>
                    <a:prstGeom prst="rect">
                      <a:avLst/>
                    </a:prstGeom>
                  </pic:spPr>
                </pic:pic>
              </a:graphicData>
            </a:graphic>
          </wp:inline>
        </w:drawing>
      </w:r>
    </w:p>
    <w:p w14:paraId="0744D20F" w14:textId="77777777" w:rsidR="00A43819" w:rsidRDefault="00A43819" w:rsidP="00B41AEC">
      <w:pPr>
        <w:rPr>
          <w:lang w:val="el-GR"/>
        </w:rPr>
      </w:pPr>
    </w:p>
    <w:p w14:paraId="5A0D3CB9" w14:textId="0DA6DF80" w:rsidR="00A43819" w:rsidRDefault="00A43819" w:rsidP="00B41AEC">
      <w:pPr>
        <w:rPr>
          <w:lang w:val="el-GR"/>
        </w:rPr>
      </w:pPr>
    </w:p>
    <w:p w14:paraId="2E7D9F3E" w14:textId="77777777" w:rsidR="00A43819" w:rsidRDefault="00A43819" w:rsidP="00B41AEC">
      <w:pPr>
        <w:rPr>
          <w:lang w:val="el-GR"/>
        </w:rPr>
      </w:pPr>
    </w:p>
    <w:p w14:paraId="1A353B76" w14:textId="55D8EFFD" w:rsidR="00A43819" w:rsidRDefault="00A43819" w:rsidP="00B41AEC">
      <w:pPr>
        <w:rPr>
          <w:lang w:val="el-GR"/>
        </w:rPr>
      </w:pPr>
    </w:p>
    <w:p w14:paraId="1BD513E5" w14:textId="77777777" w:rsidR="00A43819" w:rsidRDefault="00A43819" w:rsidP="00B41AEC">
      <w:pPr>
        <w:rPr>
          <w:lang w:val="el-GR"/>
        </w:rPr>
      </w:pPr>
    </w:p>
    <w:p w14:paraId="4D90007F" w14:textId="69D7E77C" w:rsidR="00A43819" w:rsidRDefault="00A43819" w:rsidP="00B41AEC">
      <w:pPr>
        <w:rPr>
          <w:lang w:val="el-GR"/>
        </w:rPr>
      </w:pPr>
      <w:r>
        <w:rPr>
          <w:noProof/>
          <w:lang w:val="el-GR"/>
          <w14:ligatures w14:val="standardContextual"/>
        </w:rPr>
        <w:lastRenderedPageBreak/>
        <w:drawing>
          <wp:inline distT="0" distB="0" distL="0" distR="0" wp14:anchorId="1AD882CD" wp14:editId="4D2D124A">
            <wp:extent cx="3699938" cy="2768600"/>
            <wp:effectExtent l="0" t="0" r="0" b="0"/>
            <wp:docPr id="2008548596" name="Picture 14" descr="A group of people standing in a grassy area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48596" name="Picture 14" descr="A group of people standing in a grassy area with tre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5352" cy="2772651"/>
                    </a:xfrm>
                    <a:prstGeom prst="rect">
                      <a:avLst/>
                    </a:prstGeom>
                  </pic:spPr>
                </pic:pic>
              </a:graphicData>
            </a:graphic>
          </wp:inline>
        </w:drawing>
      </w:r>
    </w:p>
    <w:p w14:paraId="34F1F39B" w14:textId="77777777" w:rsidR="00A43819" w:rsidRDefault="00A43819" w:rsidP="00B41AEC">
      <w:pPr>
        <w:rPr>
          <w:lang w:val="el-GR"/>
        </w:rPr>
      </w:pPr>
    </w:p>
    <w:p w14:paraId="4E45D7DA" w14:textId="2A1728BF" w:rsidR="00A43819" w:rsidRDefault="00A43819" w:rsidP="00B41AEC">
      <w:pPr>
        <w:rPr>
          <w:lang w:val="el-GR"/>
        </w:rPr>
      </w:pPr>
      <w:r>
        <w:rPr>
          <w:noProof/>
          <w:lang w:val="el-GR"/>
          <w14:ligatures w14:val="standardContextual"/>
        </w:rPr>
        <w:drawing>
          <wp:inline distT="0" distB="0" distL="0" distR="0" wp14:anchorId="5582E115" wp14:editId="6921B517">
            <wp:extent cx="3844202" cy="2876550"/>
            <wp:effectExtent l="0" t="0" r="4445" b="0"/>
            <wp:docPr id="1535564840" name="Picture 15" descr="Peopl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4840" name="Picture 15" descr="People in a fores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54312" cy="2884115"/>
                    </a:xfrm>
                    <a:prstGeom prst="rect">
                      <a:avLst/>
                    </a:prstGeom>
                  </pic:spPr>
                </pic:pic>
              </a:graphicData>
            </a:graphic>
          </wp:inline>
        </w:drawing>
      </w:r>
    </w:p>
    <w:p w14:paraId="02A64BF5" w14:textId="77777777" w:rsidR="00A43819" w:rsidRDefault="00A43819" w:rsidP="00B41AEC">
      <w:pPr>
        <w:rPr>
          <w:lang w:val="el-GR"/>
        </w:rPr>
      </w:pPr>
    </w:p>
    <w:p w14:paraId="22FD8B7F" w14:textId="7E7BA97A" w:rsidR="00A43819" w:rsidRPr="00B41AEC" w:rsidRDefault="00A43819" w:rsidP="00B41AEC">
      <w:pPr>
        <w:rPr>
          <w:lang w:val="el-GR"/>
        </w:rPr>
      </w:pPr>
    </w:p>
    <w:sectPr w:rsidR="00A43819" w:rsidRPr="00B41AEC" w:rsidSect="00034EE7">
      <w:headerReference w:type="defaul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3A18E" w14:textId="77777777" w:rsidR="000D71C7" w:rsidRDefault="000D71C7" w:rsidP="00034EE7">
      <w:r>
        <w:separator/>
      </w:r>
    </w:p>
  </w:endnote>
  <w:endnote w:type="continuationSeparator" w:id="0">
    <w:p w14:paraId="0D15FF61" w14:textId="77777777" w:rsidR="000D71C7" w:rsidRDefault="000D71C7" w:rsidP="00034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Calibri Light">
    <w:panose1 w:val="020F0302020204030204"/>
    <w:charset w:val="A1"/>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B8CE1" w14:textId="77777777" w:rsidR="000D71C7" w:rsidRDefault="000D71C7" w:rsidP="00034EE7">
      <w:r>
        <w:separator/>
      </w:r>
    </w:p>
  </w:footnote>
  <w:footnote w:type="continuationSeparator" w:id="0">
    <w:p w14:paraId="1A0382B7" w14:textId="77777777" w:rsidR="000D71C7" w:rsidRDefault="000D71C7" w:rsidP="00034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29EF4" w14:textId="76C921CE" w:rsidR="00034EE7" w:rsidRPr="00365FC4" w:rsidRDefault="00365FC4">
    <w:pPr>
      <w:pStyle w:val="Header"/>
      <w:rPr>
        <w:lang w:val="en-US"/>
      </w:rPr>
    </w:pPr>
    <w:r>
      <w:rPr>
        <w:noProof/>
        <w:lang w:val="en-US"/>
      </w:rPr>
      <w:drawing>
        <wp:anchor distT="0" distB="0" distL="114300" distR="114300" simplePos="0" relativeHeight="251658240" behindDoc="0" locked="0" layoutInCell="1" allowOverlap="1" wp14:anchorId="1D22CACF" wp14:editId="613FA70F">
          <wp:simplePos x="0" y="0"/>
          <wp:positionH relativeFrom="margin">
            <wp:align>center</wp:align>
          </wp:positionH>
          <wp:positionV relativeFrom="paragraph">
            <wp:posOffset>53490</wp:posOffset>
          </wp:positionV>
          <wp:extent cx="2967472" cy="1025036"/>
          <wp:effectExtent l="0" t="0" r="4445" b="3810"/>
          <wp:wrapTopAndBottom/>
          <wp:docPr id="1525497313" name="Picture 1" descr="A logo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97313" name="Picture 1" descr="A logo with text and number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967472" cy="1025036"/>
                  </a:xfrm>
                  <a:prstGeom prst="rect">
                    <a:avLst/>
                  </a:prstGeom>
                </pic:spPr>
              </pic:pic>
            </a:graphicData>
          </a:graphic>
        </wp:anchor>
      </w:drawing>
    </w:r>
  </w:p>
  <w:p w14:paraId="5A3CD3EB" w14:textId="77777777" w:rsidR="00034EE7" w:rsidRDefault="00034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A6D02"/>
    <w:multiLevelType w:val="hybridMultilevel"/>
    <w:tmpl w:val="9CDC5258"/>
    <w:lvl w:ilvl="0" w:tplc="A8CC3E4E">
      <w:start w:val="1"/>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C6B339E"/>
    <w:multiLevelType w:val="multilevel"/>
    <w:tmpl w:val="C97C219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95207B"/>
    <w:multiLevelType w:val="hybridMultilevel"/>
    <w:tmpl w:val="D6B6BCA2"/>
    <w:lvl w:ilvl="0" w:tplc="7C0698FE">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503928935">
    <w:abstractNumId w:val="2"/>
  </w:num>
  <w:num w:numId="2" w16cid:durableId="1793090225">
    <w:abstractNumId w:val="0"/>
  </w:num>
  <w:num w:numId="3" w16cid:durableId="1627815496">
    <w:abstractNumId w:val="1"/>
  </w:num>
  <w:num w:numId="4" w16cid:durableId="10577804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EE7"/>
    <w:rsid w:val="00001E17"/>
    <w:rsid w:val="00026025"/>
    <w:rsid w:val="00034EE7"/>
    <w:rsid w:val="000D71C7"/>
    <w:rsid w:val="00102F97"/>
    <w:rsid w:val="002B7041"/>
    <w:rsid w:val="00365FC4"/>
    <w:rsid w:val="00422ECD"/>
    <w:rsid w:val="004C7B3F"/>
    <w:rsid w:val="004E610F"/>
    <w:rsid w:val="005D4C01"/>
    <w:rsid w:val="00660E9E"/>
    <w:rsid w:val="006F3B16"/>
    <w:rsid w:val="00786582"/>
    <w:rsid w:val="007D7246"/>
    <w:rsid w:val="007E2EE5"/>
    <w:rsid w:val="008529ED"/>
    <w:rsid w:val="008874D2"/>
    <w:rsid w:val="008B4DFD"/>
    <w:rsid w:val="009E4826"/>
    <w:rsid w:val="00A43819"/>
    <w:rsid w:val="00AB258C"/>
    <w:rsid w:val="00AD6695"/>
    <w:rsid w:val="00AD78FE"/>
    <w:rsid w:val="00B41AEC"/>
    <w:rsid w:val="00B73167"/>
    <w:rsid w:val="00BE18C9"/>
    <w:rsid w:val="00C41F68"/>
    <w:rsid w:val="00CA6702"/>
    <w:rsid w:val="00CF4305"/>
    <w:rsid w:val="00D64C2A"/>
    <w:rsid w:val="00DA4B35"/>
    <w:rsid w:val="00E778BB"/>
    <w:rsid w:val="00E95CED"/>
    <w:rsid w:val="00ED33D9"/>
    <w:rsid w:val="00FD61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FC067"/>
  <w15:chartTrackingRefBased/>
  <w15:docId w15:val="{AEDC8FDC-A22C-4867-BAD5-2A567E70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20" w:line="30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EC"/>
    <w:pPr>
      <w:spacing w:after="0" w:line="240" w:lineRule="auto"/>
    </w:pPr>
    <w:rPr>
      <w:rFonts w:ascii="Times New Roman" w:hAnsi="Times New Roman" w:cs="Times New Roman (Body CS)"/>
      <w:kern w:val="0"/>
      <w:szCs w:val="24"/>
      <w:lang w:val="en-GB"/>
      <w14:ligatures w14:val="none"/>
    </w:rPr>
  </w:style>
  <w:style w:type="paragraph" w:styleId="Heading1">
    <w:name w:val="heading 1"/>
    <w:basedOn w:val="Normal"/>
    <w:next w:val="Normal"/>
    <w:link w:val="Heading1Char"/>
    <w:qFormat/>
    <w:rsid w:val="008529ED"/>
    <w:pPr>
      <w:keepNext/>
      <w:outlineLvl w:val="0"/>
    </w:pPr>
    <w:rPr>
      <w:rFonts w:asciiTheme="minorHAnsi" w:hAnsiTheme="minorHAnsi" w:cstheme="minorBidi"/>
      <w:b/>
      <w:color w:val="0070C0"/>
      <w:kern w:val="2"/>
      <w:sz w:val="32"/>
      <w:lang w:val="en-US" w:eastAsia="el-GR"/>
      <w14:ligatures w14:val="standardContextual"/>
    </w:rPr>
  </w:style>
  <w:style w:type="paragraph" w:styleId="Heading2">
    <w:name w:val="heading 2"/>
    <w:basedOn w:val="Normal"/>
    <w:next w:val="Normal"/>
    <w:link w:val="Heading2Char"/>
    <w:uiPriority w:val="9"/>
    <w:unhideWhenUsed/>
    <w:qFormat/>
    <w:rsid w:val="008529ED"/>
    <w:pPr>
      <w:keepNext/>
      <w:keepLines/>
      <w:numPr>
        <w:numId w:val="3"/>
      </w:numPr>
      <w:spacing w:before="40"/>
      <w:ind w:hanging="360"/>
      <w:outlineLvl w:val="1"/>
    </w:pPr>
    <w:rPr>
      <w:rFonts w:ascii="Calibri Light" w:hAnsi="Calibri Light" w:cstheme="minorBidi"/>
      <w:b/>
      <w:color w:val="2E74B5"/>
      <w:kern w:val="2"/>
      <w:sz w:val="28"/>
      <w:szCs w:val="26"/>
      <w:lang w:eastAsia="el-GR"/>
      <w14:ligatures w14:val="standardContextual"/>
    </w:rPr>
  </w:style>
  <w:style w:type="paragraph" w:styleId="Heading3">
    <w:name w:val="heading 3"/>
    <w:basedOn w:val="Normal"/>
    <w:next w:val="Normal"/>
    <w:link w:val="Heading3Char"/>
    <w:qFormat/>
    <w:rsid w:val="008529ED"/>
    <w:pPr>
      <w:keepNext/>
      <w:tabs>
        <w:tab w:val="num" w:pos="720"/>
      </w:tabs>
      <w:ind w:left="720" w:hanging="360"/>
      <w:jc w:val="both"/>
      <w:outlineLvl w:val="2"/>
    </w:pPr>
    <w:rPr>
      <w:rFonts w:asciiTheme="minorHAnsi" w:hAnsiTheme="minorHAnsi" w:cstheme="minorBidi"/>
      <w:iCs/>
      <w:color w:val="156082" w:themeColor="accent1"/>
      <w:kern w:val="2"/>
      <w:sz w:val="26"/>
      <w:u w:val="single"/>
      <w:lang w:eastAsia="el-GR"/>
      <w14:ligatures w14:val="standardContextual"/>
    </w:rPr>
  </w:style>
  <w:style w:type="paragraph" w:styleId="Heading4">
    <w:name w:val="heading 4"/>
    <w:basedOn w:val="Normal"/>
    <w:next w:val="Normal"/>
    <w:link w:val="Heading4Char"/>
    <w:uiPriority w:val="9"/>
    <w:semiHidden/>
    <w:unhideWhenUsed/>
    <w:qFormat/>
    <w:rsid w:val="00034EE7"/>
    <w:pPr>
      <w:keepNext/>
      <w:keepLines/>
      <w:spacing w:before="80" w:after="40" w:line="300" w:lineRule="exact"/>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034EE7"/>
    <w:pPr>
      <w:keepNext/>
      <w:keepLines/>
      <w:spacing w:before="80" w:after="40" w:line="300" w:lineRule="exact"/>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034EE7"/>
    <w:pPr>
      <w:keepNext/>
      <w:keepLines/>
      <w:spacing w:before="40" w:line="300" w:lineRule="exact"/>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034EE7"/>
    <w:pPr>
      <w:keepNext/>
      <w:keepLines/>
      <w:spacing w:before="40" w:line="300" w:lineRule="exact"/>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034EE7"/>
    <w:pPr>
      <w:keepNext/>
      <w:keepLines/>
      <w:spacing w:line="300" w:lineRule="exact"/>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034EE7"/>
    <w:pPr>
      <w:keepNext/>
      <w:keepLines/>
      <w:spacing w:line="300" w:lineRule="exact"/>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529ED"/>
    <w:rPr>
      <w:b/>
      <w:color w:val="0070C0"/>
      <w:sz w:val="32"/>
      <w:szCs w:val="24"/>
      <w:lang w:val="en-US" w:eastAsia="el-GR"/>
    </w:rPr>
  </w:style>
  <w:style w:type="character" w:customStyle="1" w:styleId="Heading2Char">
    <w:name w:val="Heading 2 Char"/>
    <w:link w:val="Heading2"/>
    <w:uiPriority w:val="9"/>
    <w:rsid w:val="008529ED"/>
    <w:rPr>
      <w:rFonts w:ascii="Calibri Light" w:hAnsi="Calibri Light"/>
      <w:b/>
      <w:color w:val="2E74B5"/>
      <w:sz w:val="28"/>
      <w:szCs w:val="26"/>
      <w:lang w:eastAsia="el-GR"/>
    </w:rPr>
  </w:style>
  <w:style w:type="character" w:customStyle="1" w:styleId="Heading3Char">
    <w:name w:val="Heading 3 Char"/>
    <w:link w:val="Heading3"/>
    <w:rsid w:val="008529ED"/>
    <w:rPr>
      <w:iCs/>
      <w:color w:val="156082" w:themeColor="accent1"/>
      <w:sz w:val="26"/>
      <w:szCs w:val="24"/>
      <w:u w:val="single"/>
      <w:lang w:eastAsia="el-GR"/>
    </w:rPr>
  </w:style>
  <w:style w:type="character" w:customStyle="1" w:styleId="Heading4Char">
    <w:name w:val="Heading 4 Char"/>
    <w:basedOn w:val="DefaultParagraphFont"/>
    <w:link w:val="Heading4"/>
    <w:uiPriority w:val="9"/>
    <w:semiHidden/>
    <w:rsid w:val="00034EE7"/>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034EE7"/>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034EE7"/>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034EE7"/>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034EE7"/>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034EE7"/>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034EE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34EE7"/>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034EE7"/>
    <w:pPr>
      <w:numPr>
        <w:ilvl w:val="1"/>
      </w:numPr>
      <w:spacing w:after="160" w:line="300" w:lineRule="exac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34EE7"/>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034EE7"/>
    <w:pPr>
      <w:spacing w:before="160" w:after="160" w:line="300" w:lineRule="exact"/>
      <w:jc w:val="center"/>
    </w:pPr>
    <w:rPr>
      <w:rFonts w:asciiTheme="minorHAnsi" w:hAnsi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034EE7"/>
    <w:rPr>
      <w:i/>
      <w:iCs/>
      <w:color w:val="404040" w:themeColor="text1" w:themeTint="BF"/>
      <w:lang w:val="en-GB"/>
    </w:rPr>
  </w:style>
  <w:style w:type="paragraph" w:styleId="ListParagraph">
    <w:name w:val="List Paragraph"/>
    <w:basedOn w:val="Normal"/>
    <w:uiPriority w:val="34"/>
    <w:qFormat/>
    <w:rsid w:val="00034EE7"/>
    <w:pPr>
      <w:spacing w:after="120" w:line="300" w:lineRule="exact"/>
      <w:ind w:left="720"/>
      <w:contextualSpacing/>
    </w:pPr>
    <w:rPr>
      <w:rFonts w:asciiTheme="minorHAnsi" w:hAnsiTheme="minorHAnsi" w:cstheme="minorBidi"/>
      <w:kern w:val="2"/>
      <w:szCs w:val="22"/>
      <w14:ligatures w14:val="standardContextual"/>
    </w:rPr>
  </w:style>
  <w:style w:type="character" w:styleId="IntenseEmphasis">
    <w:name w:val="Intense Emphasis"/>
    <w:basedOn w:val="DefaultParagraphFont"/>
    <w:uiPriority w:val="21"/>
    <w:qFormat/>
    <w:rsid w:val="00034EE7"/>
    <w:rPr>
      <w:i/>
      <w:iCs/>
      <w:color w:val="0F4761" w:themeColor="accent1" w:themeShade="BF"/>
    </w:rPr>
  </w:style>
  <w:style w:type="paragraph" w:styleId="IntenseQuote">
    <w:name w:val="Intense Quote"/>
    <w:basedOn w:val="Normal"/>
    <w:next w:val="Normal"/>
    <w:link w:val="IntenseQuoteChar"/>
    <w:uiPriority w:val="30"/>
    <w:qFormat/>
    <w:rsid w:val="00034EE7"/>
    <w:pPr>
      <w:pBdr>
        <w:top w:val="single" w:sz="4" w:space="10" w:color="0F4761" w:themeColor="accent1" w:themeShade="BF"/>
        <w:bottom w:val="single" w:sz="4" w:space="10" w:color="0F4761" w:themeColor="accent1" w:themeShade="BF"/>
      </w:pBdr>
      <w:spacing w:before="360" w:after="360" w:line="300" w:lineRule="exact"/>
      <w:ind w:left="864" w:right="864"/>
      <w:jc w:val="center"/>
    </w:pPr>
    <w:rPr>
      <w:rFonts w:asciiTheme="minorHAnsi" w:hAnsi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034EE7"/>
    <w:rPr>
      <w:i/>
      <w:iCs/>
      <w:color w:val="0F4761" w:themeColor="accent1" w:themeShade="BF"/>
      <w:lang w:val="en-GB"/>
    </w:rPr>
  </w:style>
  <w:style w:type="character" w:styleId="IntenseReference">
    <w:name w:val="Intense Reference"/>
    <w:basedOn w:val="DefaultParagraphFont"/>
    <w:uiPriority w:val="32"/>
    <w:qFormat/>
    <w:rsid w:val="00034EE7"/>
    <w:rPr>
      <w:b/>
      <w:bCs/>
      <w:smallCaps/>
      <w:color w:val="0F4761" w:themeColor="accent1" w:themeShade="BF"/>
      <w:spacing w:val="5"/>
    </w:rPr>
  </w:style>
  <w:style w:type="paragraph" w:styleId="Header">
    <w:name w:val="header"/>
    <w:basedOn w:val="Normal"/>
    <w:link w:val="HeaderChar"/>
    <w:uiPriority w:val="99"/>
    <w:unhideWhenUsed/>
    <w:rsid w:val="00034EE7"/>
    <w:pPr>
      <w:tabs>
        <w:tab w:val="center" w:pos="4153"/>
        <w:tab w:val="right" w:pos="8306"/>
      </w:tabs>
    </w:pPr>
    <w:rPr>
      <w:rFonts w:asciiTheme="minorHAnsi" w:hAnsiTheme="minorHAnsi" w:cstheme="minorBidi"/>
      <w:kern w:val="2"/>
      <w:szCs w:val="22"/>
      <w14:ligatures w14:val="standardContextual"/>
    </w:rPr>
  </w:style>
  <w:style w:type="character" w:customStyle="1" w:styleId="HeaderChar">
    <w:name w:val="Header Char"/>
    <w:basedOn w:val="DefaultParagraphFont"/>
    <w:link w:val="Header"/>
    <w:uiPriority w:val="99"/>
    <w:rsid w:val="00034EE7"/>
    <w:rPr>
      <w:lang w:val="en-GB"/>
    </w:rPr>
  </w:style>
  <w:style w:type="paragraph" w:styleId="Footer">
    <w:name w:val="footer"/>
    <w:basedOn w:val="Normal"/>
    <w:link w:val="FooterChar"/>
    <w:uiPriority w:val="99"/>
    <w:unhideWhenUsed/>
    <w:rsid w:val="00034EE7"/>
    <w:pPr>
      <w:tabs>
        <w:tab w:val="center" w:pos="4153"/>
        <w:tab w:val="right" w:pos="8306"/>
      </w:tabs>
    </w:pPr>
    <w:rPr>
      <w:rFonts w:asciiTheme="minorHAnsi" w:hAnsiTheme="minorHAnsi" w:cstheme="minorBidi"/>
      <w:kern w:val="2"/>
      <w:szCs w:val="22"/>
      <w14:ligatures w14:val="standardContextual"/>
    </w:rPr>
  </w:style>
  <w:style w:type="character" w:customStyle="1" w:styleId="FooterChar">
    <w:name w:val="Footer Char"/>
    <w:basedOn w:val="DefaultParagraphFont"/>
    <w:link w:val="Footer"/>
    <w:uiPriority w:val="99"/>
    <w:rsid w:val="00034EE7"/>
    <w:rPr>
      <w:lang w:val="en-GB"/>
    </w:rPr>
  </w:style>
  <w:style w:type="character" w:styleId="Hyperlink">
    <w:name w:val="Hyperlink"/>
    <w:basedOn w:val="DefaultParagraphFont"/>
    <w:uiPriority w:val="99"/>
    <w:unhideWhenUsed/>
    <w:rsid w:val="00365FC4"/>
    <w:rPr>
      <w:color w:val="467886" w:themeColor="hyperlink"/>
      <w:u w:val="single"/>
    </w:rPr>
  </w:style>
  <w:style w:type="character" w:styleId="UnresolvedMention">
    <w:name w:val="Unresolved Mention"/>
    <w:basedOn w:val="DefaultParagraphFont"/>
    <w:uiPriority w:val="99"/>
    <w:semiHidden/>
    <w:unhideWhenUsed/>
    <w:rsid w:val="0036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39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immersive/d41586-023-03601-6/index.html"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lobalcarbonproject.org/"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nature.com/articles/d41586-024-04242-z"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650</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MOUTOU</dc:creator>
  <cp:keywords/>
  <dc:description/>
  <cp:lastModifiedBy>Katerina MOUTOU</cp:lastModifiedBy>
  <cp:revision>8</cp:revision>
  <dcterms:created xsi:type="dcterms:W3CDTF">2025-01-14T12:06:00Z</dcterms:created>
  <dcterms:modified xsi:type="dcterms:W3CDTF">2025-01-14T12:56:00Z</dcterms:modified>
</cp:coreProperties>
</file>