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B5E7" w14:textId="77777777" w:rsidR="00393069" w:rsidRPr="00C4136C" w:rsidRDefault="003368F6">
      <w:pPr>
        <w:spacing w:after="38" w:line="259" w:lineRule="auto"/>
        <w:ind w:left="149" w:firstLine="0"/>
        <w:jc w:val="left"/>
        <w:rPr>
          <w:rFonts w:ascii="Aptos" w:hAnsi="Aptos"/>
          <w:lang w:val="el-GR"/>
        </w:rPr>
      </w:pPr>
      <w:r w:rsidRPr="00C4136C">
        <w:rPr>
          <w:rFonts w:ascii="Aptos" w:hAnsi="Aptos"/>
          <w:b/>
          <w:lang w:val="el-GR"/>
        </w:rPr>
        <w:t xml:space="preserve"> </w:t>
      </w:r>
    </w:p>
    <w:p w14:paraId="5BF2E7BF" w14:textId="77777777" w:rsidR="006B1718" w:rsidRPr="00C4136C" w:rsidRDefault="003368F6">
      <w:pPr>
        <w:spacing w:after="98" w:line="275" w:lineRule="auto"/>
        <w:ind w:left="211" w:right="1" w:firstLine="0"/>
        <w:jc w:val="center"/>
        <w:rPr>
          <w:rFonts w:ascii="Aptos" w:hAnsi="Aptos"/>
          <w:b/>
          <w:sz w:val="24"/>
          <w:lang w:val="el-GR"/>
        </w:rPr>
      </w:pPr>
      <w:r w:rsidRPr="00C4136C">
        <w:rPr>
          <w:rFonts w:ascii="Aptos" w:hAnsi="Aptos"/>
          <w:b/>
          <w:sz w:val="24"/>
          <w:lang w:val="el-GR"/>
        </w:rPr>
        <w:t xml:space="preserve">ΠΡΟΣΚΛΗΣΗ ΓΙΑ ΤΗΝ ΥΠΟΒΟΛΗ ΥΠΟΨΗΦΙΟΤΗΤΩΝ </w:t>
      </w:r>
    </w:p>
    <w:p w14:paraId="0DC65DC6" w14:textId="5CCDABEF" w:rsidR="00393069" w:rsidRPr="00C4136C" w:rsidRDefault="003368F6">
      <w:pPr>
        <w:spacing w:after="98" w:line="275" w:lineRule="auto"/>
        <w:ind w:left="211" w:right="1" w:firstLine="0"/>
        <w:jc w:val="center"/>
        <w:rPr>
          <w:rFonts w:ascii="Aptos" w:hAnsi="Aptos"/>
          <w:lang w:val="el-GR"/>
        </w:rPr>
      </w:pPr>
      <w:r w:rsidRPr="00C4136C">
        <w:rPr>
          <w:rFonts w:ascii="Aptos" w:hAnsi="Aptos"/>
          <w:b/>
          <w:sz w:val="24"/>
          <w:lang w:val="el-GR"/>
        </w:rPr>
        <w:t>ΣΤΟ Δ.Π.Μ.Σ. ΒΙΟΕΠΙΧΕΙΡΕΙΝ</w:t>
      </w:r>
      <w:r w:rsidRPr="00C4136C">
        <w:rPr>
          <w:rFonts w:ascii="Aptos" w:hAnsi="Aptos"/>
          <w:sz w:val="24"/>
          <w:lang w:val="el-GR"/>
        </w:rPr>
        <w:t xml:space="preserve"> </w:t>
      </w:r>
      <w:r w:rsidRPr="00C4136C">
        <w:rPr>
          <w:rFonts w:ascii="Aptos" w:hAnsi="Aptos"/>
          <w:b/>
          <w:sz w:val="24"/>
          <w:lang w:val="el-GR"/>
        </w:rPr>
        <w:t>ΓΙΑ ΤΟ ΑΚΑΔΗΜΑΪΚΟ ΕΤΟΣ 202</w:t>
      </w:r>
      <w:r w:rsidR="00F53880" w:rsidRPr="00C4136C">
        <w:rPr>
          <w:rFonts w:ascii="Aptos" w:hAnsi="Aptos"/>
          <w:b/>
          <w:sz w:val="24"/>
          <w:lang w:val="el-GR"/>
        </w:rPr>
        <w:t>5</w:t>
      </w:r>
      <w:r w:rsidRPr="00C4136C">
        <w:rPr>
          <w:rFonts w:ascii="Aptos" w:hAnsi="Aptos"/>
          <w:b/>
          <w:sz w:val="24"/>
          <w:lang w:val="el-GR"/>
        </w:rPr>
        <w:t>-202</w:t>
      </w:r>
      <w:r w:rsidR="00F53880" w:rsidRPr="00C4136C">
        <w:rPr>
          <w:rFonts w:ascii="Aptos" w:hAnsi="Aptos"/>
          <w:b/>
          <w:sz w:val="24"/>
          <w:lang w:val="el-GR"/>
        </w:rPr>
        <w:t>6</w:t>
      </w:r>
      <w:r w:rsidRPr="00C4136C">
        <w:rPr>
          <w:rFonts w:ascii="Aptos" w:hAnsi="Aptos"/>
          <w:sz w:val="24"/>
          <w:lang w:val="el-GR"/>
        </w:rPr>
        <w:t xml:space="preserve"> </w:t>
      </w:r>
    </w:p>
    <w:p w14:paraId="0E083C57" w14:textId="77777777" w:rsidR="00393069" w:rsidRPr="00C4136C" w:rsidRDefault="003368F6">
      <w:pPr>
        <w:spacing w:after="139" w:line="259" w:lineRule="auto"/>
        <w:ind w:left="149" w:firstLine="0"/>
        <w:jc w:val="left"/>
        <w:rPr>
          <w:rFonts w:ascii="Aptos" w:hAnsi="Aptos"/>
          <w:lang w:val="el-GR"/>
        </w:rPr>
      </w:pPr>
      <w:r w:rsidRPr="00C4136C">
        <w:rPr>
          <w:rFonts w:ascii="Aptos" w:hAnsi="Aptos"/>
          <w:lang w:val="el-GR"/>
        </w:rPr>
        <w:t xml:space="preserve">  </w:t>
      </w:r>
    </w:p>
    <w:p w14:paraId="796F88CA" w14:textId="77777777" w:rsidR="00827ADA" w:rsidRDefault="003368F6">
      <w:pPr>
        <w:ind w:left="144" w:right="-11"/>
        <w:rPr>
          <w:rFonts w:ascii="Aptos" w:hAnsi="Aptos"/>
          <w:lang w:val="el-GR"/>
        </w:rPr>
      </w:pPr>
      <w:r w:rsidRPr="00C4136C">
        <w:rPr>
          <w:rFonts w:ascii="Aptos" w:hAnsi="Aptos"/>
          <w:lang w:val="el-GR"/>
        </w:rPr>
        <w:t xml:space="preserve">Το Τμήμα Βιοχημείας και Βιοτεχνολογίας της Σχολής Επιστημών Υγείας του Πανεπιστημίου Θεσσαλίας σε συνεργασία με το Ινστιτούτο Χημικής Βιολογίας του Εθνικού Ιδρύματος Ερευνών (ΕΙΕ), προσκαλεί υποψήφιους φοιτητές για </w:t>
      </w:r>
      <w:r w:rsidRPr="00C4136C">
        <w:rPr>
          <w:rFonts w:ascii="Aptos" w:hAnsi="Aptos"/>
          <w:b/>
          <w:lang w:val="el-GR"/>
        </w:rPr>
        <w:t xml:space="preserve">υποβολή αιτήσεων </w:t>
      </w:r>
      <w:r w:rsidRPr="00C4136C">
        <w:rPr>
          <w:rFonts w:ascii="Aptos" w:hAnsi="Aptos"/>
          <w:lang w:val="el-GR"/>
        </w:rPr>
        <w:t>για το ακαδημαϊκό έτος 202</w:t>
      </w:r>
      <w:r w:rsidR="002A5654" w:rsidRPr="00C4136C">
        <w:rPr>
          <w:rFonts w:ascii="Aptos" w:hAnsi="Aptos"/>
          <w:lang w:val="el-GR"/>
        </w:rPr>
        <w:t>5</w:t>
      </w:r>
      <w:r w:rsidRPr="00C4136C">
        <w:rPr>
          <w:rFonts w:ascii="Aptos" w:hAnsi="Aptos"/>
          <w:lang w:val="el-GR"/>
        </w:rPr>
        <w:t>-2</w:t>
      </w:r>
      <w:r w:rsidR="002A5654" w:rsidRPr="00C4136C">
        <w:rPr>
          <w:rFonts w:ascii="Aptos" w:hAnsi="Aptos"/>
          <w:lang w:val="el-GR"/>
        </w:rPr>
        <w:t>6</w:t>
      </w:r>
      <w:r w:rsidRPr="00C4136C">
        <w:rPr>
          <w:rFonts w:ascii="Aptos" w:hAnsi="Aptos"/>
          <w:lang w:val="el-GR"/>
        </w:rPr>
        <w:t xml:space="preserve"> στο </w:t>
      </w:r>
      <w:r w:rsidR="002A5654" w:rsidRPr="00C4136C">
        <w:rPr>
          <w:rFonts w:ascii="Aptos" w:hAnsi="Aptos"/>
          <w:b/>
          <w:bCs/>
          <w:lang w:val="el-GR"/>
        </w:rPr>
        <w:t>πιστοποιημένο</w:t>
      </w:r>
      <w:r w:rsidR="002A5654" w:rsidRPr="00C4136C">
        <w:rPr>
          <w:rFonts w:ascii="Aptos" w:hAnsi="Aptos"/>
          <w:lang w:val="el-GR"/>
        </w:rPr>
        <w:t xml:space="preserve"> </w:t>
      </w:r>
      <w:r w:rsidRPr="00C4136C">
        <w:rPr>
          <w:rFonts w:ascii="Aptos" w:hAnsi="Aptos"/>
          <w:b/>
          <w:lang w:val="el-GR"/>
        </w:rPr>
        <w:t>Διϊδρυματικό Πρόγραμμα Μεταπτυχιακών Σπουδών «Βιοεπιχειρείν» (</w:t>
      </w:r>
      <w:r w:rsidRPr="00C4136C">
        <w:rPr>
          <w:rFonts w:ascii="Aptos" w:hAnsi="Aptos"/>
          <w:b/>
        </w:rPr>
        <w:t>MSc</w:t>
      </w:r>
      <w:r w:rsidRPr="00C4136C">
        <w:rPr>
          <w:rFonts w:ascii="Aptos" w:hAnsi="Aptos"/>
          <w:b/>
          <w:lang w:val="el-GR"/>
        </w:rPr>
        <w:t xml:space="preserve"> </w:t>
      </w:r>
      <w:r w:rsidRPr="00C4136C">
        <w:rPr>
          <w:rFonts w:ascii="Aptos" w:hAnsi="Aptos"/>
          <w:b/>
        </w:rPr>
        <w:t>in</w:t>
      </w:r>
      <w:r w:rsidRPr="00C4136C">
        <w:rPr>
          <w:rFonts w:ascii="Aptos" w:hAnsi="Aptos"/>
          <w:b/>
          <w:lang w:val="el-GR"/>
        </w:rPr>
        <w:t xml:space="preserve"> </w:t>
      </w:r>
      <w:r w:rsidRPr="00C4136C">
        <w:rPr>
          <w:rFonts w:ascii="Aptos" w:hAnsi="Aptos"/>
          <w:b/>
        </w:rPr>
        <w:t>Bioentrepreneurship</w:t>
      </w:r>
      <w:r w:rsidRPr="00C4136C">
        <w:rPr>
          <w:rFonts w:ascii="Aptos" w:hAnsi="Aptos"/>
          <w:b/>
          <w:lang w:val="el-GR"/>
        </w:rPr>
        <w:t>)</w:t>
      </w:r>
      <w:r w:rsidRPr="00C4136C">
        <w:rPr>
          <w:rFonts w:ascii="Aptos" w:hAnsi="Aptos"/>
          <w:lang w:val="el-GR"/>
        </w:rPr>
        <w:t xml:space="preserve">. </w:t>
      </w:r>
      <w:r w:rsidRPr="00C4136C">
        <w:rPr>
          <w:rFonts w:ascii="Aptos" w:hAnsi="Aptos"/>
          <w:b/>
          <w:lang w:val="el-GR"/>
        </w:rPr>
        <w:t>Θα λειτουργήσουν δύο (2) τμήματα</w:t>
      </w:r>
      <w:r w:rsidRPr="00C4136C">
        <w:rPr>
          <w:rFonts w:ascii="Aptos" w:hAnsi="Aptos"/>
          <w:lang w:val="el-GR"/>
        </w:rPr>
        <w:t xml:space="preserve">, ένα στο Τμήμα Βιοχημείας και Βιοτεχνολογίας στη </w:t>
      </w:r>
      <w:r w:rsidRPr="00C4136C">
        <w:rPr>
          <w:rFonts w:ascii="Aptos" w:hAnsi="Aptos"/>
          <w:b/>
          <w:lang w:val="el-GR"/>
        </w:rPr>
        <w:t>Λάρισα</w:t>
      </w:r>
      <w:r w:rsidRPr="00C4136C">
        <w:rPr>
          <w:rFonts w:ascii="Aptos" w:hAnsi="Aptos"/>
          <w:lang w:val="el-GR"/>
        </w:rPr>
        <w:t xml:space="preserve"> και ένα στις εγκαταστάσεις του ΕΙΕ, Βασιλέως Κωνσταντίνου 48, στην </w:t>
      </w:r>
      <w:r w:rsidRPr="00C4136C">
        <w:rPr>
          <w:rFonts w:ascii="Aptos" w:hAnsi="Aptos"/>
          <w:b/>
          <w:lang w:val="el-GR"/>
        </w:rPr>
        <w:t>Αθήνα</w:t>
      </w:r>
      <w:r w:rsidR="00326F42" w:rsidRPr="00C4136C">
        <w:rPr>
          <w:rFonts w:ascii="Aptos" w:hAnsi="Aptos"/>
          <w:lang w:val="el-GR"/>
        </w:rPr>
        <w:t>, ενώ παρέχεται η δυνατότητα για διαδικτυακή παρακολούθηση των μαθημάτων.</w:t>
      </w:r>
      <w:r w:rsidR="000101EE" w:rsidRPr="00C4136C">
        <w:rPr>
          <w:rFonts w:ascii="Aptos" w:hAnsi="Aptos"/>
          <w:lang w:val="el-GR"/>
        </w:rPr>
        <w:t xml:space="preserve"> </w:t>
      </w:r>
    </w:p>
    <w:p w14:paraId="7B992F79" w14:textId="57A53F05" w:rsidR="00631018" w:rsidRPr="00C4136C" w:rsidRDefault="00631018">
      <w:pPr>
        <w:ind w:left="144" w:right="-11"/>
        <w:rPr>
          <w:rFonts w:ascii="Aptos" w:hAnsi="Aptos"/>
          <w:lang w:val="el-GR"/>
        </w:rPr>
      </w:pPr>
      <w:r w:rsidRPr="00C4136C">
        <w:rPr>
          <w:rFonts w:ascii="Aptos" w:hAnsi="Aptos"/>
        </w:rPr>
        <w:t>T</w:t>
      </w:r>
      <w:r w:rsidRPr="00C4136C">
        <w:rPr>
          <w:rFonts w:ascii="Aptos" w:hAnsi="Aptos"/>
          <w:lang w:val="el-GR"/>
        </w:rPr>
        <w:t xml:space="preserve">α μαθήματα του ΔΠΜΣ διδάσκονται Παρασκευή (17.30-20.30) και Σάββατο (10.00-14.00).  Η διδασκαλία των μαθημάτων πραγματοποιείται υβριδικά μέσω δια ζώσης και εξ αποστάσεως μεθόδων διδασκαλίας. Οι εξετάσεις διενεργούνται δια ζώσης. </w:t>
      </w:r>
    </w:p>
    <w:p w14:paraId="22D31573" w14:textId="37B2FA83" w:rsidR="00393069" w:rsidRPr="00C4136C" w:rsidRDefault="003368F6">
      <w:pPr>
        <w:ind w:left="144" w:right="-11"/>
        <w:rPr>
          <w:rFonts w:ascii="Aptos" w:hAnsi="Aptos"/>
          <w:lang w:val="el-GR"/>
        </w:rPr>
      </w:pPr>
      <w:r w:rsidRPr="00C4136C">
        <w:rPr>
          <w:rFonts w:ascii="Aptos" w:hAnsi="Aptos"/>
          <w:lang w:val="el-GR"/>
        </w:rPr>
        <w:t xml:space="preserve">Αιτήσεις υποψηφιοτήτων μπορούν να υποβάλλονται </w:t>
      </w:r>
      <w:r w:rsidRPr="00C4136C">
        <w:rPr>
          <w:rFonts w:ascii="Aptos" w:hAnsi="Aptos"/>
          <w:b/>
          <w:lang w:val="el-GR"/>
        </w:rPr>
        <w:t xml:space="preserve">μέχρι πλήρωσης θέσεων ή το αργότερο μέχρι </w:t>
      </w:r>
      <w:r w:rsidR="00F53880" w:rsidRPr="00C4136C">
        <w:rPr>
          <w:rFonts w:ascii="Aptos" w:hAnsi="Aptos"/>
          <w:b/>
          <w:lang w:val="el-GR"/>
        </w:rPr>
        <w:t>7</w:t>
      </w:r>
      <w:r w:rsidR="00DF1438" w:rsidRPr="00C4136C">
        <w:rPr>
          <w:rFonts w:ascii="Aptos" w:hAnsi="Aptos"/>
          <w:b/>
          <w:lang w:val="el-GR"/>
        </w:rPr>
        <w:t xml:space="preserve"> </w:t>
      </w:r>
      <w:r w:rsidR="001475F8" w:rsidRPr="00C4136C">
        <w:rPr>
          <w:rFonts w:ascii="Aptos" w:hAnsi="Aptos"/>
          <w:b/>
          <w:lang w:val="el-GR"/>
        </w:rPr>
        <w:t>Ιουλίου</w:t>
      </w:r>
      <w:r w:rsidR="00326F42" w:rsidRPr="00C4136C">
        <w:rPr>
          <w:rFonts w:ascii="Aptos" w:hAnsi="Aptos"/>
          <w:b/>
          <w:lang w:val="el-GR"/>
        </w:rPr>
        <w:t xml:space="preserve"> 202</w:t>
      </w:r>
      <w:r w:rsidR="001475F8" w:rsidRPr="00C4136C">
        <w:rPr>
          <w:rFonts w:ascii="Aptos" w:hAnsi="Aptos"/>
          <w:b/>
          <w:lang w:val="el-GR"/>
        </w:rPr>
        <w:t>5</w:t>
      </w:r>
      <w:r w:rsidRPr="00C4136C">
        <w:rPr>
          <w:rFonts w:ascii="Aptos" w:hAnsi="Aptos"/>
          <w:lang w:val="el-GR"/>
        </w:rPr>
        <w:t xml:space="preserve">. Ο μέγιστος αριθμός εισακτέων ανέρχεται σε </w:t>
      </w:r>
      <w:r w:rsidR="00EA2BAC" w:rsidRPr="00C4136C">
        <w:rPr>
          <w:rFonts w:ascii="Aptos" w:hAnsi="Aptos"/>
          <w:lang w:val="el-GR"/>
        </w:rPr>
        <w:t>είκοσι</w:t>
      </w:r>
      <w:r w:rsidRPr="00C4136C">
        <w:rPr>
          <w:rFonts w:ascii="Aptos" w:hAnsi="Aptos"/>
          <w:lang w:val="el-GR"/>
        </w:rPr>
        <w:t xml:space="preserve"> (</w:t>
      </w:r>
      <w:r w:rsidR="00EA2BAC" w:rsidRPr="00C4136C">
        <w:rPr>
          <w:rFonts w:ascii="Aptos" w:hAnsi="Aptos"/>
          <w:lang w:val="el-GR"/>
        </w:rPr>
        <w:t>2</w:t>
      </w:r>
      <w:r w:rsidRPr="00C4136C">
        <w:rPr>
          <w:rFonts w:ascii="Aptos" w:hAnsi="Aptos"/>
          <w:lang w:val="el-GR"/>
        </w:rPr>
        <w:t>0) άτομα. Οι συνεντεύξεις των υποψηφίων θα γίνουν ηλεκτρονικά</w:t>
      </w:r>
      <w:r w:rsidR="001475F8" w:rsidRPr="00C4136C">
        <w:rPr>
          <w:rFonts w:ascii="Aptos" w:hAnsi="Aptos"/>
          <w:lang w:val="el-GR"/>
        </w:rPr>
        <w:t xml:space="preserve"> 9-11 Ιουλίου 2025</w:t>
      </w:r>
      <w:r w:rsidRPr="00C4136C">
        <w:rPr>
          <w:rFonts w:ascii="Aptos" w:hAnsi="Aptos"/>
          <w:lang w:val="el-GR"/>
        </w:rPr>
        <w:t xml:space="preserve">. </w:t>
      </w:r>
    </w:p>
    <w:p w14:paraId="16EA9BA5" w14:textId="77777777" w:rsidR="00393069" w:rsidRPr="00C4136C" w:rsidRDefault="003368F6">
      <w:pPr>
        <w:spacing w:after="247"/>
        <w:ind w:left="144" w:right="-11"/>
        <w:rPr>
          <w:rFonts w:ascii="Aptos" w:hAnsi="Aptos"/>
          <w:lang w:val="el-GR"/>
        </w:rPr>
      </w:pPr>
      <w:r w:rsidRPr="00C4136C">
        <w:rPr>
          <w:rFonts w:ascii="Aptos" w:hAnsi="Aptos"/>
          <w:lang w:val="el-GR"/>
        </w:rPr>
        <w:t xml:space="preserve">Αντικείμενο του προγράμματος μεταπτυχιακών σπουδών είναι η διασύνδεση της ακαδημαϊκής εκπαίδευσης με την επιχειρηματική πρακτική και η προετοιμασία για μια καριέρα στον κόσμο των βιοτεχνολογικών επιχειρήσεων. Οι φοιτητές αναπτύσσουν τις δεξιότητές τους στις βιοχημικές διαδικασίες παραγωγής προϊόντων και υπηρεσιών, ενώ παράλληλα αποκτούν γνώσεις στον τομέα των οικονομικών επιστημών και της διοίκησης επιχειρήσεων, απαραίτητες για κάθε επιτυχημένο επιχειρηματικό εγχείρημα. Το Μεταπτυχιακό Πρόγραμμα Βιοεπιχειρείν διαφοροποιείται σε σχέση με τη συνήθη ακαδημαϊκή πρακτική ως προς το σχεδιασμό του καθώς στην υλοποίησή του συμμετέχει ένα </w:t>
      </w:r>
      <w:r w:rsidRPr="00C4136C">
        <w:rPr>
          <w:rFonts w:ascii="Aptos" w:hAnsi="Aptos"/>
          <w:b/>
          <w:lang w:val="el-GR"/>
        </w:rPr>
        <w:t xml:space="preserve">δίκτυο καταξιωμένων εταιρειών </w:t>
      </w:r>
      <w:r w:rsidRPr="00C4136C">
        <w:rPr>
          <w:rFonts w:ascii="Aptos" w:hAnsi="Aptos"/>
          <w:lang w:val="el-GR"/>
        </w:rPr>
        <w:t xml:space="preserve">που συνδέει τους φοιτητές με την πραγματικότητα του </w:t>
      </w:r>
      <w:proofErr w:type="spellStart"/>
      <w:r w:rsidRPr="00C4136C">
        <w:rPr>
          <w:rFonts w:ascii="Aptos" w:hAnsi="Aptos"/>
          <w:lang w:val="el-GR"/>
        </w:rPr>
        <w:t>επιχειρείν</w:t>
      </w:r>
      <w:proofErr w:type="spellEnd"/>
      <w:r w:rsidRPr="00C4136C">
        <w:rPr>
          <w:rFonts w:ascii="Aptos" w:hAnsi="Aptos"/>
          <w:lang w:val="el-GR"/>
        </w:rPr>
        <w:t xml:space="preserve"> και της αγοράς στη </w:t>
      </w:r>
      <w:proofErr w:type="spellStart"/>
      <w:r w:rsidRPr="00C4136C">
        <w:rPr>
          <w:rFonts w:ascii="Aptos" w:hAnsi="Aptos"/>
          <w:lang w:val="el-GR"/>
        </w:rPr>
        <w:t>βιο</w:t>
      </w:r>
      <w:proofErr w:type="spellEnd"/>
      <w:r w:rsidRPr="00C4136C">
        <w:rPr>
          <w:rFonts w:ascii="Aptos" w:hAnsi="Aptos"/>
          <w:lang w:val="el-GR"/>
        </w:rPr>
        <w:t xml:space="preserve">-οικονομία. </w:t>
      </w:r>
    </w:p>
    <w:p w14:paraId="4161CBA1" w14:textId="2C4166C3" w:rsidR="00393069" w:rsidRPr="00C4136C" w:rsidRDefault="003368F6">
      <w:pPr>
        <w:ind w:left="144" w:right="-11"/>
        <w:rPr>
          <w:rFonts w:ascii="Aptos" w:hAnsi="Aptos"/>
          <w:lang w:val="el-GR"/>
        </w:rPr>
      </w:pPr>
      <w:r w:rsidRPr="00C4136C">
        <w:rPr>
          <w:rFonts w:ascii="Aptos" w:hAnsi="Aptos"/>
          <w:lang w:val="el-GR"/>
        </w:rPr>
        <w:t xml:space="preserve">Στο Δ.Π.Μ.Σ. γίνονται δεκτοί πτυχιούχοι Τμημάτων Ανώτατης Εκπαίδευσης (Α.Ε.Ι. και Α.Τ.Ε.Ι.) της ημεδαπής ή αναγνωρισμένων ομοταγών ιδρυμάτων της αλλοδαπής. Η έναρξη των μαθημάτων του Δ.Π.Μ.Σ. θα γίνει τον </w:t>
      </w:r>
      <w:r w:rsidRPr="00C4136C">
        <w:rPr>
          <w:rFonts w:ascii="Aptos" w:hAnsi="Aptos"/>
          <w:b/>
          <w:lang w:val="el-GR"/>
        </w:rPr>
        <w:t>Οκτώβριο 202</w:t>
      </w:r>
      <w:r w:rsidR="001475F8" w:rsidRPr="00C4136C">
        <w:rPr>
          <w:rFonts w:ascii="Aptos" w:hAnsi="Aptos"/>
          <w:b/>
          <w:lang w:val="el-GR"/>
        </w:rPr>
        <w:t>5</w:t>
      </w:r>
      <w:r w:rsidRPr="00C4136C">
        <w:rPr>
          <w:rFonts w:ascii="Aptos" w:hAnsi="Aptos"/>
          <w:lang w:val="el-GR"/>
        </w:rPr>
        <w:t xml:space="preserve">. </w:t>
      </w:r>
    </w:p>
    <w:p w14:paraId="5FCDAC4A" w14:textId="77777777" w:rsidR="00393069" w:rsidRPr="00C4136C" w:rsidRDefault="003368F6">
      <w:pPr>
        <w:ind w:left="144" w:right="-11"/>
        <w:rPr>
          <w:rFonts w:ascii="Aptos" w:hAnsi="Aptos"/>
          <w:lang w:val="el-GR"/>
        </w:rPr>
      </w:pPr>
      <w:r w:rsidRPr="00C4136C">
        <w:rPr>
          <w:rFonts w:ascii="Aptos" w:hAnsi="Aptos"/>
          <w:lang w:val="el-GR"/>
        </w:rPr>
        <w:t xml:space="preserve">Το πρόγραμμα, διάρκειας τριών εξαμήνων (δύο εξάμηνα εκπαίδευσης και ένα εξάμηνο εκπόνησης και συγγραφής της διπλωματικής εργασίας, κατά προτίμηση σε συνεργαζόμενη επιχείρηση) είναι πλήρως εναρμονισμένο  με τα διεθνή πρότυπα, συνδυάζοντας τις παραδοσιακές με τις νέες εκπαιδευτικές τεχνολογίες και εργαλεία, αποτελεί δε ουσιαστικά ένα </w:t>
      </w:r>
      <w:r w:rsidRPr="00C4136C">
        <w:rPr>
          <w:rFonts w:ascii="Aptos" w:hAnsi="Aptos"/>
          <w:b/>
          <w:lang w:val="el-GR"/>
        </w:rPr>
        <w:t>ΜΒΑ στη Βιοτεχνολογία</w:t>
      </w:r>
      <w:r w:rsidRPr="00C4136C">
        <w:rPr>
          <w:rFonts w:ascii="Aptos" w:hAnsi="Aptos"/>
          <w:lang w:val="el-GR"/>
        </w:rPr>
        <w:t xml:space="preserve">. Τα τέλη φοίτησης του Δ.Π.Μ.Σ. ανέρχονται σε χίλια πεντακόσια (1.500) € ανά εξάμηνο. Από τα τέλη φοίτησης </w:t>
      </w:r>
    </w:p>
    <w:p w14:paraId="5009E5F1" w14:textId="204BC0AD" w:rsidR="00393069" w:rsidRPr="00C4136C" w:rsidRDefault="00393069">
      <w:pPr>
        <w:spacing w:after="0" w:line="259" w:lineRule="auto"/>
        <w:ind w:left="149" w:firstLine="0"/>
        <w:jc w:val="left"/>
        <w:rPr>
          <w:rFonts w:ascii="Aptos" w:hAnsi="Aptos"/>
          <w:lang w:val="el-GR"/>
        </w:rPr>
      </w:pPr>
    </w:p>
    <w:p w14:paraId="26C727F1" w14:textId="77777777" w:rsidR="00393069" w:rsidRPr="00C4136C" w:rsidRDefault="003368F6">
      <w:pPr>
        <w:spacing w:after="249"/>
        <w:ind w:left="144" w:right="-11"/>
        <w:rPr>
          <w:rFonts w:ascii="Aptos" w:hAnsi="Aptos"/>
          <w:lang w:val="el-GR"/>
        </w:rPr>
      </w:pPr>
      <w:r w:rsidRPr="00C4136C">
        <w:rPr>
          <w:rFonts w:ascii="Aptos" w:hAnsi="Aptos"/>
          <w:lang w:val="el-GR"/>
        </w:rPr>
        <w:t xml:space="preserve">απαλλάσσονται οι φοιτητές που εμπίπτουν στις προβλέψεις του άρθρου 35 του Ν. 4485/2017.  </w:t>
      </w:r>
    </w:p>
    <w:p w14:paraId="415416C7" w14:textId="7996670B" w:rsidR="00393069" w:rsidRPr="00C4136C" w:rsidRDefault="003368F6">
      <w:pPr>
        <w:spacing w:after="163"/>
        <w:ind w:left="144" w:right="-11"/>
        <w:rPr>
          <w:rFonts w:ascii="Aptos" w:hAnsi="Aptos"/>
          <w:lang w:val="el-GR"/>
        </w:rPr>
      </w:pPr>
      <w:r w:rsidRPr="00C4136C">
        <w:rPr>
          <w:rFonts w:ascii="Aptos" w:hAnsi="Aptos"/>
          <w:lang w:val="el-GR"/>
        </w:rPr>
        <w:t>Οι ενδιαφερόμενοι/</w:t>
      </w:r>
      <w:proofErr w:type="spellStart"/>
      <w:r w:rsidRPr="00C4136C">
        <w:rPr>
          <w:rFonts w:ascii="Aptos" w:hAnsi="Aptos"/>
          <w:lang w:val="el-GR"/>
        </w:rPr>
        <w:t>ες</w:t>
      </w:r>
      <w:proofErr w:type="spellEnd"/>
      <w:r w:rsidRPr="00C4136C">
        <w:rPr>
          <w:rFonts w:ascii="Aptos" w:hAnsi="Aptos"/>
          <w:lang w:val="el-GR"/>
        </w:rPr>
        <w:t xml:space="preserve"> θα πρέπει να υποβάλλουν ηλεκτρονικά (μέσω </w:t>
      </w:r>
      <w:r w:rsidRPr="00C4136C">
        <w:rPr>
          <w:rFonts w:ascii="Aptos" w:hAnsi="Aptos"/>
        </w:rPr>
        <w:t>e</w:t>
      </w:r>
      <w:r w:rsidRPr="00C4136C">
        <w:rPr>
          <w:rFonts w:ascii="Aptos" w:hAnsi="Aptos"/>
          <w:lang w:val="el-GR"/>
        </w:rPr>
        <w:t>-</w:t>
      </w:r>
      <w:r w:rsidRPr="00C4136C">
        <w:rPr>
          <w:rFonts w:ascii="Aptos" w:hAnsi="Aptos"/>
        </w:rPr>
        <w:t>mail</w:t>
      </w:r>
      <w:r w:rsidRPr="00C4136C">
        <w:rPr>
          <w:rFonts w:ascii="Aptos" w:hAnsi="Aptos"/>
          <w:lang w:val="el-GR"/>
        </w:rPr>
        <w:t xml:space="preserve"> στη διεύθυνση </w:t>
      </w:r>
      <w:proofErr w:type="spellStart"/>
      <w:r w:rsidRPr="00C4136C">
        <w:rPr>
          <w:rFonts w:ascii="Aptos" w:hAnsi="Aptos"/>
        </w:rPr>
        <w:t>bioepixirin</w:t>
      </w:r>
      <w:proofErr w:type="spellEnd"/>
      <w:r w:rsidRPr="00C4136C">
        <w:rPr>
          <w:rFonts w:ascii="Aptos" w:hAnsi="Aptos"/>
        </w:rPr>
        <w:fldChar w:fldCharType="begin"/>
      </w:r>
      <w:r w:rsidRPr="00C4136C">
        <w:rPr>
          <w:rFonts w:ascii="Aptos" w:hAnsi="Aptos"/>
        </w:rPr>
        <w:instrText>HYPERLINK</w:instrText>
      </w:r>
      <w:r w:rsidRPr="00C4136C">
        <w:rPr>
          <w:rFonts w:ascii="Aptos" w:hAnsi="Aptos"/>
          <w:lang w:val="el-GR"/>
        </w:rPr>
        <w:instrText xml:space="preserve"> "</w:instrText>
      </w:r>
      <w:r w:rsidRPr="00C4136C">
        <w:rPr>
          <w:rFonts w:ascii="Aptos" w:hAnsi="Aptos"/>
        </w:rPr>
        <w:instrText>http</w:instrText>
      </w:r>
      <w:r w:rsidRPr="00C4136C">
        <w:rPr>
          <w:rFonts w:ascii="Aptos" w:hAnsi="Aptos"/>
          <w:lang w:val="el-GR"/>
        </w:rPr>
        <w:instrText>://</w:instrText>
      </w:r>
      <w:r w:rsidRPr="00C4136C">
        <w:rPr>
          <w:rFonts w:ascii="Aptos" w:hAnsi="Aptos"/>
        </w:rPr>
        <w:instrText>uth</w:instrText>
      </w:r>
      <w:r w:rsidRPr="00C4136C">
        <w:rPr>
          <w:rFonts w:ascii="Aptos" w:hAnsi="Aptos"/>
          <w:lang w:val="el-GR"/>
        </w:rPr>
        <w:instrText>.</w:instrText>
      </w:r>
      <w:r w:rsidRPr="00C4136C">
        <w:rPr>
          <w:rFonts w:ascii="Aptos" w:hAnsi="Aptos"/>
        </w:rPr>
        <w:instrText>gr</w:instrText>
      </w:r>
      <w:r w:rsidRPr="00C4136C">
        <w:rPr>
          <w:rFonts w:ascii="Aptos" w:hAnsi="Aptos"/>
          <w:lang w:val="el-GR"/>
        </w:rPr>
        <w:instrText>/" \</w:instrText>
      </w:r>
      <w:r w:rsidRPr="00C4136C">
        <w:rPr>
          <w:rFonts w:ascii="Aptos" w:hAnsi="Aptos"/>
        </w:rPr>
        <w:instrText>h</w:instrText>
      </w:r>
      <w:r w:rsidRPr="00C4136C">
        <w:rPr>
          <w:rFonts w:ascii="Aptos" w:hAnsi="Aptos"/>
        </w:rPr>
      </w:r>
      <w:r w:rsidRPr="00C4136C">
        <w:rPr>
          <w:rFonts w:ascii="Aptos" w:hAnsi="Aptos"/>
        </w:rPr>
        <w:fldChar w:fldCharType="separate"/>
      </w:r>
      <w:r w:rsidRPr="00C4136C">
        <w:rPr>
          <w:rFonts w:ascii="Aptos" w:hAnsi="Aptos"/>
          <w:lang w:val="el-GR"/>
        </w:rPr>
        <w:t>@</w:t>
      </w:r>
      <w:r w:rsidRPr="00C4136C">
        <w:rPr>
          <w:rFonts w:ascii="Aptos" w:hAnsi="Aptos"/>
        </w:rPr>
        <w:fldChar w:fldCharType="end"/>
      </w:r>
      <w:hyperlink r:id="rId7">
        <w:proofErr w:type="spellStart"/>
        <w:r w:rsidRPr="00C4136C">
          <w:rPr>
            <w:rFonts w:ascii="Aptos" w:hAnsi="Aptos"/>
          </w:rPr>
          <w:t>uth</w:t>
        </w:r>
        <w:proofErr w:type="spellEnd"/>
      </w:hyperlink>
      <w:hyperlink r:id="rId8">
        <w:r w:rsidRPr="00C4136C">
          <w:rPr>
            <w:rFonts w:ascii="Aptos" w:hAnsi="Aptos"/>
            <w:lang w:val="el-GR"/>
          </w:rPr>
          <w:t>.</w:t>
        </w:r>
      </w:hyperlink>
      <w:hyperlink r:id="rId9">
        <w:r w:rsidRPr="00C4136C">
          <w:rPr>
            <w:rFonts w:ascii="Aptos" w:hAnsi="Aptos"/>
          </w:rPr>
          <w:t>gr</w:t>
        </w:r>
      </w:hyperlink>
      <w:hyperlink r:id="rId10">
        <w:r w:rsidRPr="00C4136C">
          <w:rPr>
            <w:rFonts w:ascii="Aptos" w:hAnsi="Aptos"/>
            <w:lang w:val="el-GR"/>
          </w:rPr>
          <w:t>)</w:t>
        </w:r>
      </w:hyperlink>
      <w:r w:rsidRPr="00C4136C">
        <w:rPr>
          <w:rFonts w:ascii="Aptos" w:hAnsi="Aptos"/>
          <w:lang w:val="el-GR"/>
        </w:rPr>
        <w:t xml:space="preserve"> ή ταχυδρομικά στη Γραμματεία του Δ.Π.Μ.Σ. (Γραμματεία Δ.Π.Μ.Σ. Βιοεπιχειρείν, Εθνικό Ίδρυμα Ερευνών, Βασιλέως Κωνσταντίνου 48, 116 35 Αθήνα) </w:t>
      </w:r>
      <w:r w:rsidR="00DF1438" w:rsidRPr="00C4136C">
        <w:rPr>
          <w:rFonts w:ascii="Aptos" w:hAnsi="Aptos"/>
          <w:lang w:val="el-GR"/>
        </w:rPr>
        <w:t xml:space="preserve">μέχρι </w:t>
      </w:r>
      <w:r w:rsidR="001475F8" w:rsidRPr="00C4136C">
        <w:rPr>
          <w:rFonts w:ascii="Aptos" w:hAnsi="Aptos"/>
          <w:b/>
          <w:lang w:val="el-GR"/>
        </w:rPr>
        <w:t>7</w:t>
      </w:r>
      <w:r w:rsidR="00C50FD0" w:rsidRPr="00C4136C">
        <w:rPr>
          <w:rFonts w:ascii="Aptos" w:hAnsi="Aptos"/>
          <w:b/>
          <w:lang w:val="el-GR"/>
        </w:rPr>
        <w:t xml:space="preserve"> </w:t>
      </w:r>
      <w:r w:rsidR="001475F8" w:rsidRPr="00C4136C">
        <w:rPr>
          <w:rFonts w:ascii="Aptos" w:hAnsi="Aptos"/>
          <w:b/>
          <w:lang w:val="el-GR"/>
        </w:rPr>
        <w:t>Ιουλίου</w:t>
      </w:r>
      <w:r w:rsidR="00326F42" w:rsidRPr="00C4136C">
        <w:rPr>
          <w:rFonts w:ascii="Aptos" w:hAnsi="Aptos"/>
          <w:b/>
          <w:lang w:val="el-GR"/>
        </w:rPr>
        <w:t xml:space="preserve"> 202</w:t>
      </w:r>
      <w:r w:rsidR="001475F8" w:rsidRPr="00C4136C">
        <w:rPr>
          <w:rFonts w:ascii="Aptos" w:hAnsi="Aptos"/>
          <w:b/>
          <w:lang w:val="el-GR"/>
        </w:rPr>
        <w:t>5</w:t>
      </w:r>
      <w:r w:rsidRPr="00C4136C">
        <w:rPr>
          <w:rFonts w:ascii="Aptos" w:hAnsi="Aptos"/>
          <w:lang w:val="el-GR"/>
        </w:rPr>
        <w:t xml:space="preserve">: </w:t>
      </w:r>
    </w:p>
    <w:p w14:paraId="51FA9C0B" w14:textId="77777777" w:rsidR="00393069" w:rsidRPr="00C4136C" w:rsidRDefault="003368F6">
      <w:pPr>
        <w:numPr>
          <w:ilvl w:val="0"/>
          <w:numId w:val="1"/>
        </w:numPr>
        <w:spacing w:after="41"/>
        <w:ind w:right="-11" w:hanging="360"/>
        <w:rPr>
          <w:rFonts w:ascii="Aptos" w:hAnsi="Aptos"/>
          <w:lang w:val="el-GR"/>
        </w:rPr>
      </w:pPr>
      <w:r w:rsidRPr="00C4136C">
        <w:rPr>
          <w:rFonts w:ascii="Aptos" w:hAnsi="Aptos"/>
          <w:lang w:val="el-GR"/>
        </w:rPr>
        <w:t xml:space="preserve">Αίτηση Συμμετοχής (βρίσκεται στη Γραμματεία και στην ιστοσελίδα του Δ.Π.Μ.Σ.) Οι υποψήφιοι θα πρέπει να δηλώσουν που επιθυμούν να φοιτήσουν (Λάρισα ή Αθήνα) </w:t>
      </w:r>
    </w:p>
    <w:p w14:paraId="16414457" w14:textId="77777777" w:rsidR="00393069" w:rsidRPr="00C4136C" w:rsidRDefault="003368F6">
      <w:pPr>
        <w:numPr>
          <w:ilvl w:val="0"/>
          <w:numId w:val="1"/>
        </w:numPr>
        <w:spacing w:after="43"/>
        <w:ind w:right="-11" w:hanging="360"/>
        <w:rPr>
          <w:rFonts w:ascii="Aptos" w:hAnsi="Aptos"/>
          <w:lang w:val="el-GR"/>
        </w:rPr>
      </w:pPr>
      <w:r w:rsidRPr="00C4136C">
        <w:rPr>
          <w:rFonts w:ascii="Aptos" w:hAnsi="Aptos"/>
          <w:lang w:val="el-GR"/>
        </w:rPr>
        <w:t xml:space="preserve">Αναλυτικό βιογραφικό σημείωμα (πρότυπη φόρμα βιογραφικού βρίσκεται στη Γραμματεία και στην ιστοσελίδα του Δ.Π.Μ.Σ.) </w:t>
      </w:r>
    </w:p>
    <w:p w14:paraId="60E7781F" w14:textId="77777777" w:rsidR="00393069" w:rsidRPr="00C4136C" w:rsidRDefault="003368F6">
      <w:pPr>
        <w:numPr>
          <w:ilvl w:val="0"/>
          <w:numId w:val="1"/>
        </w:numPr>
        <w:spacing w:after="7"/>
        <w:ind w:right="-11" w:hanging="360"/>
        <w:rPr>
          <w:rFonts w:ascii="Aptos" w:hAnsi="Aptos"/>
          <w:lang w:val="el-GR"/>
        </w:rPr>
      </w:pPr>
      <w:r w:rsidRPr="00C4136C">
        <w:rPr>
          <w:rFonts w:ascii="Aptos" w:hAnsi="Aptos"/>
          <w:lang w:val="el-GR"/>
        </w:rPr>
        <w:t xml:space="preserve">Δύο συστατικές επιστολές (μέσω </w:t>
      </w:r>
      <w:r w:rsidRPr="00C4136C">
        <w:rPr>
          <w:rFonts w:ascii="Aptos" w:hAnsi="Aptos"/>
        </w:rPr>
        <w:t>e</w:t>
      </w:r>
      <w:r w:rsidRPr="00C4136C">
        <w:rPr>
          <w:rFonts w:ascii="Aptos" w:hAnsi="Aptos"/>
          <w:lang w:val="el-GR"/>
        </w:rPr>
        <w:t>-</w:t>
      </w:r>
      <w:r w:rsidRPr="00C4136C">
        <w:rPr>
          <w:rFonts w:ascii="Aptos" w:hAnsi="Aptos"/>
        </w:rPr>
        <w:t>mail</w:t>
      </w:r>
      <w:r w:rsidRPr="00C4136C">
        <w:rPr>
          <w:rFonts w:ascii="Aptos" w:hAnsi="Aptos"/>
          <w:lang w:val="el-GR"/>
        </w:rPr>
        <w:t xml:space="preserve"> στη διεύθυνση </w:t>
      </w:r>
      <w:proofErr w:type="spellStart"/>
      <w:r w:rsidRPr="00C4136C">
        <w:rPr>
          <w:rFonts w:ascii="Aptos" w:hAnsi="Aptos"/>
        </w:rPr>
        <w:t>bioepixirin</w:t>
      </w:r>
      <w:proofErr w:type="spellEnd"/>
      <w:r w:rsidRPr="00C4136C">
        <w:rPr>
          <w:rFonts w:ascii="Aptos" w:hAnsi="Aptos"/>
          <w:lang w:val="el-GR"/>
        </w:rPr>
        <w:t>@</w:t>
      </w:r>
      <w:proofErr w:type="spellStart"/>
      <w:r w:rsidRPr="00C4136C">
        <w:rPr>
          <w:rFonts w:ascii="Aptos" w:hAnsi="Aptos"/>
        </w:rPr>
        <w:t>uth</w:t>
      </w:r>
      <w:proofErr w:type="spellEnd"/>
      <w:r w:rsidRPr="00C4136C">
        <w:rPr>
          <w:rFonts w:ascii="Aptos" w:hAnsi="Aptos"/>
          <w:lang w:val="el-GR"/>
        </w:rPr>
        <w:t>.</w:t>
      </w:r>
      <w:r w:rsidRPr="00C4136C">
        <w:rPr>
          <w:rFonts w:ascii="Aptos" w:hAnsi="Aptos"/>
        </w:rPr>
        <w:t>gr</w:t>
      </w:r>
      <w:r w:rsidRPr="00C4136C">
        <w:rPr>
          <w:rFonts w:ascii="Aptos" w:hAnsi="Aptos"/>
          <w:lang w:val="el-GR"/>
        </w:rPr>
        <w:t xml:space="preserve"> απευθείας από τους συντάκτες τους) </w:t>
      </w:r>
    </w:p>
    <w:p w14:paraId="2AF83825" w14:textId="77777777" w:rsidR="00393069" w:rsidRPr="00C4136C" w:rsidRDefault="003368F6">
      <w:pPr>
        <w:spacing w:after="17" w:line="259" w:lineRule="auto"/>
        <w:ind w:left="689" w:firstLine="0"/>
        <w:jc w:val="left"/>
        <w:rPr>
          <w:rFonts w:ascii="Aptos" w:hAnsi="Aptos"/>
          <w:lang w:val="el-GR"/>
        </w:rPr>
      </w:pPr>
      <w:r w:rsidRPr="00C4136C">
        <w:rPr>
          <w:rFonts w:ascii="Aptos" w:hAnsi="Aptos"/>
          <w:lang w:val="el-GR"/>
        </w:rPr>
        <w:t xml:space="preserve"> </w:t>
      </w:r>
    </w:p>
    <w:p w14:paraId="715F4C11" w14:textId="77777777" w:rsidR="00393069" w:rsidRPr="00C4136C" w:rsidRDefault="003368F6">
      <w:pPr>
        <w:spacing w:after="158"/>
        <w:ind w:left="144" w:right="-11"/>
        <w:rPr>
          <w:rFonts w:ascii="Aptos" w:hAnsi="Aptos"/>
          <w:lang w:val="el-GR"/>
        </w:rPr>
      </w:pPr>
      <w:r w:rsidRPr="00C4136C">
        <w:rPr>
          <w:rFonts w:ascii="Aptos" w:hAnsi="Aptos"/>
          <w:lang w:val="el-GR"/>
        </w:rPr>
        <w:t xml:space="preserve">Η διαδικασία επιλογής βασίζεται στην αξιολόγηση των φακέλων υποψηφιότητας (με κριτήρια όπως ο βαθμός πτυχίου, η βαθμολογία στα μαθήματα που είναι σχετικά με το γνωστικό αντικείμενο του Δ.Π.Μ.Σ. και ο βαθμός της διπλωματικής εργασίας όπου αυτή προβλέπεται, το επίπεδο γνώσης της αγγλικής γλώσσας, η επαγγελματική εμπειρία, οι δημοσιεύσεις σε επιστημονικά περιοδικά, οι ανακοινώσεις σε επιστημονικά συνέδρια, η συμμετοχή σε ερευνητικά προγράμματα, η κατοχή άλλων μεταπτυχιακών τίτλων σπουδών), καθώς και στην προφορική συνέντευξη. Στην περίπτωση που η αίτησή τους γίνει δεκτή, για την εγγραφή τους θα πρέπει να προσκομίσουν τα δικαιολογητικά που αναφέρονται στην ιστοσελίδα του προγράμματος. </w:t>
      </w:r>
    </w:p>
    <w:p w14:paraId="6FF62886" w14:textId="60DFA6B3" w:rsidR="00393069" w:rsidRPr="00C4136C" w:rsidRDefault="003368F6">
      <w:pPr>
        <w:spacing w:after="152"/>
        <w:ind w:left="144" w:right="-11"/>
        <w:rPr>
          <w:rFonts w:ascii="Aptos" w:hAnsi="Aptos"/>
          <w:lang w:val="el-GR"/>
        </w:rPr>
      </w:pPr>
      <w:r w:rsidRPr="00C4136C">
        <w:rPr>
          <w:rFonts w:ascii="Aptos" w:hAnsi="Aptos"/>
          <w:lang w:val="el-GR"/>
        </w:rPr>
        <w:t xml:space="preserve"> Για περισσότερες πληροφορίες: </w:t>
      </w:r>
      <w:r w:rsidRPr="00C4136C">
        <w:rPr>
          <w:rFonts w:ascii="Aptos" w:hAnsi="Aptos"/>
        </w:rPr>
        <w:t>http</w:t>
      </w:r>
      <w:r w:rsidRPr="00C4136C">
        <w:rPr>
          <w:rFonts w:ascii="Aptos" w:hAnsi="Aptos"/>
          <w:lang w:val="el-GR"/>
        </w:rPr>
        <w:t>://</w:t>
      </w:r>
      <w:proofErr w:type="spellStart"/>
      <w:r w:rsidRPr="00C4136C">
        <w:rPr>
          <w:rFonts w:ascii="Aptos" w:hAnsi="Aptos"/>
        </w:rPr>
        <w:t>bioepixirin</w:t>
      </w:r>
      <w:proofErr w:type="spellEnd"/>
      <w:r w:rsidRPr="00C4136C">
        <w:rPr>
          <w:rFonts w:ascii="Aptos" w:hAnsi="Aptos"/>
          <w:lang w:val="el-GR"/>
        </w:rPr>
        <w:t>.</w:t>
      </w:r>
      <w:r w:rsidRPr="00C4136C">
        <w:rPr>
          <w:rFonts w:ascii="Aptos" w:hAnsi="Aptos"/>
        </w:rPr>
        <w:t>bio</w:t>
      </w:r>
      <w:r w:rsidRPr="00C4136C">
        <w:rPr>
          <w:rFonts w:ascii="Aptos" w:hAnsi="Aptos"/>
          <w:lang w:val="el-GR"/>
        </w:rPr>
        <w:t>.</w:t>
      </w:r>
      <w:proofErr w:type="spellStart"/>
      <w:r w:rsidRPr="00C4136C">
        <w:rPr>
          <w:rFonts w:ascii="Aptos" w:hAnsi="Aptos"/>
        </w:rPr>
        <w:t>uth</w:t>
      </w:r>
      <w:proofErr w:type="spellEnd"/>
      <w:r w:rsidRPr="00C4136C">
        <w:rPr>
          <w:rFonts w:ascii="Aptos" w:hAnsi="Aptos"/>
          <w:lang w:val="el-GR"/>
        </w:rPr>
        <w:t>.</w:t>
      </w:r>
      <w:r w:rsidRPr="00C4136C">
        <w:rPr>
          <w:rFonts w:ascii="Aptos" w:hAnsi="Aptos"/>
        </w:rPr>
        <w:t>gr</w:t>
      </w:r>
      <w:r w:rsidRPr="00C4136C">
        <w:rPr>
          <w:rFonts w:ascii="Aptos" w:hAnsi="Aptos"/>
          <w:lang w:val="el-GR"/>
        </w:rPr>
        <w:t xml:space="preserve"> ή στο τηλέφωνο 210</w:t>
      </w:r>
      <w:r w:rsidRPr="00C4136C">
        <w:rPr>
          <w:rFonts w:ascii="Cambria Math" w:eastAsia="Cambria Math" w:hAnsi="Cambria Math" w:cs="Cambria Math"/>
          <w:lang w:val="el-GR"/>
        </w:rPr>
        <w:t>‐</w:t>
      </w:r>
      <w:r w:rsidRPr="00C4136C">
        <w:rPr>
          <w:rFonts w:ascii="Aptos" w:hAnsi="Aptos"/>
          <w:lang w:val="el-GR"/>
        </w:rPr>
        <w:t>7273735</w:t>
      </w:r>
      <w:r w:rsidR="001475F8" w:rsidRPr="00C4136C">
        <w:rPr>
          <w:rFonts w:ascii="Aptos" w:hAnsi="Aptos"/>
          <w:lang w:val="el-GR"/>
        </w:rPr>
        <w:t xml:space="preserve"> (</w:t>
      </w:r>
      <w:r w:rsidR="00C4136C" w:rsidRPr="00C4136C">
        <w:rPr>
          <w:rFonts w:ascii="Aptos" w:hAnsi="Aptos"/>
          <w:lang w:val="el-GR"/>
        </w:rPr>
        <w:t>καθημερινά</w:t>
      </w:r>
      <w:r w:rsidR="001475F8" w:rsidRPr="00C4136C">
        <w:rPr>
          <w:rFonts w:ascii="Aptos" w:hAnsi="Aptos"/>
          <w:lang w:val="el-GR"/>
        </w:rPr>
        <w:t xml:space="preserve"> 09.00-13.00)</w:t>
      </w:r>
      <w:r w:rsidRPr="00C4136C">
        <w:rPr>
          <w:rFonts w:ascii="Aptos" w:hAnsi="Aptos"/>
          <w:lang w:val="el-GR"/>
        </w:rPr>
        <w:t xml:space="preserve">, Γραμματεία Δ.Π.Μ.Σ. Βιοεπιχειρείν, Εθνικό Ίδρυμα Ερευνών, </w:t>
      </w:r>
      <w:proofErr w:type="spellStart"/>
      <w:r w:rsidRPr="00C4136C">
        <w:rPr>
          <w:rFonts w:ascii="Aptos" w:hAnsi="Aptos"/>
          <w:lang w:val="el-GR"/>
        </w:rPr>
        <w:t>Βασ</w:t>
      </w:r>
      <w:proofErr w:type="spellEnd"/>
      <w:r w:rsidRPr="00C4136C">
        <w:rPr>
          <w:rFonts w:ascii="Aptos" w:hAnsi="Aptos"/>
          <w:lang w:val="el-GR"/>
        </w:rPr>
        <w:t xml:space="preserve">. Κωνσταντίνου 48, Αθήνα 11635 </w:t>
      </w:r>
    </w:p>
    <w:p w14:paraId="517DA2BA" w14:textId="77777777" w:rsidR="00393069" w:rsidRPr="00C4136C" w:rsidRDefault="003368F6">
      <w:pPr>
        <w:spacing w:after="158" w:line="259" w:lineRule="auto"/>
        <w:ind w:left="149" w:firstLine="0"/>
        <w:jc w:val="left"/>
        <w:rPr>
          <w:rFonts w:ascii="Aptos" w:hAnsi="Aptos"/>
          <w:lang w:val="el-GR"/>
        </w:rPr>
      </w:pPr>
      <w:r w:rsidRPr="00C4136C">
        <w:rPr>
          <w:rFonts w:ascii="Aptos" w:eastAsia="Times New Roman" w:hAnsi="Aptos" w:cs="Times New Roman"/>
          <w:sz w:val="24"/>
          <w:lang w:val="el-GR"/>
        </w:rPr>
        <w:t xml:space="preserve"> </w:t>
      </w:r>
    </w:p>
    <w:p w14:paraId="5BD891C2" w14:textId="77777777" w:rsidR="00393069" w:rsidRPr="00C4136C" w:rsidRDefault="003368F6">
      <w:pPr>
        <w:spacing w:after="0" w:line="259" w:lineRule="auto"/>
        <w:ind w:left="149" w:firstLine="0"/>
        <w:jc w:val="left"/>
        <w:rPr>
          <w:rFonts w:ascii="Aptos" w:hAnsi="Aptos"/>
          <w:lang w:val="el-GR"/>
        </w:rPr>
      </w:pPr>
      <w:r w:rsidRPr="00C4136C">
        <w:rPr>
          <w:rFonts w:ascii="Aptos" w:eastAsia="Times New Roman" w:hAnsi="Aptos" w:cs="Times New Roman"/>
          <w:sz w:val="24"/>
          <w:lang w:val="el-GR"/>
        </w:rPr>
        <w:t xml:space="preserve"> </w:t>
      </w:r>
    </w:p>
    <w:sectPr w:rsidR="00393069" w:rsidRPr="00C4136C">
      <w:headerReference w:type="default" r:id="rId11"/>
      <w:pgSz w:w="12240" w:h="15840"/>
      <w:pgMar w:top="770" w:right="1411" w:bottom="1603" w:left="12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3217" w14:textId="77777777" w:rsidR="00DB0C03" w:rsidRDefault="00DB0C03" w:rsidP="00262732">
      <w:pPr>
        <w:spacing w:after="0" w:line="240" w:lineRule="auto"/>
      </w:pPr>
      <w:r>
        <w:separator/>
      </w:r>
    </w:p>
  </w:endnote>
  <w:endnote w:type="continuationSeparator" w:id="0">
    <w:p w14:paraId="2533181C" w14:textId="77777777" w:rsidR="00DB0C03" w:rsidRDefault="00DB0C03" w:rsidP="0026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F39F" w14:textId="77777777" w:rsidR="00DB0C03" w:rsidRDefault="00DB0C03" w:rsidP="00262732">
      <w:pPr>
        <w:spacing w:after="0" w:line="240" w:lineRule="auto"/>
      </w:pPr>
      <w:r>
        <w:separator/>
      </w:r>
    </w:p>
  </w:footnote>
  <w:footnote w:type="continuationSeparator" w:id="0">
    <w:p w14:paraId="6368472D" w14:textId="77777777" w:rsidR="00DB0C03" w:rsidRDefault="00DB0C03" w:rsidP="0026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183"/>
      <w:gridCol w:w="3183"/>
    </w:tblGrid>
    <w:tr w:rsidR="00262732" w14:paraId="1FEBEE61" w14:textId="77777777" w:rsidTr="00262732">
      <w:tc>
        <w:tcPr>
          <w:tcW w:w="3183" w:type="dxa"/>
          <w:vAlign w:val="center"/>
        </w:tcPr>
        <w:p w14:paraId="03395C3C" w14:textId="4B184973" w:rsidR="00262732" w:rsidRDefault="002A5654" w:rsidP="00262732">
          <w:pPr>
            <w:spacing w:after="28" w:line="259" w:lineRule="auto"/>
            <w:ind w:left="0" w:firstLine="0"/>
            <w:jc w:val="center"/>
            <w:rPr>
              <w:rFonts w:ascii="Calibri" w:eastAsia="Calibri" w:hAnsi="Calibri" w:cs="Calibri"/>
              <w:sz w:val="16"/>
              <w:lang w:val="el-GR"/>
            </w:rPr>
          </w:pPr>
          <w:r>
            <w:rPr>
              <w:rFonts w:ascii="Calibri" w:eastAsia="Calibri" w:hAnsi="Calibri" w:cs="Calibri"/>
              <w:noProof/>
              <w:sz w:val="16"/>
              <w:lang w:val="el-GR"/>
            </w:rPr>
            <w:drawing>
              <wp:inline distT="0" distB="0" distL="0" distR="0" wp14:anchorId="7DC6961E" wp14:editId="7AE8C2CA">
                <wp:extent cx="1746250" cy="666802"/>
                <wp:effectExtent l="0" t="0" r="6350" b="0"/>
                <wp:docPr id="224193661" name="Picture 1" descr="A logo with text and blue and orang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93661" name="Picture 1" descr="A logo with text and blue and orange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9300" cy="675604"/>
                        </a:xfrm>
                        <a:prstGeom prst="rect">
                          <a:avLst/>
                        </a:prstGeom>
                      </pic:spPr>
                    </pic:pic>
                  </a:graphicData>
                </a:graphic>
              </wp:inline>
            </w:drawing>
          </w:r>
        </w:p>
      </w:tc>
      <w:tc>
        <w:tcPr>
          <w:tcW w:w="3183" w:type="dxa"/>
          <w:vAlign w:val="center"/>
        </w:tcPr>
        <w:p w14:paraId="4A942A9C" w14:textId="77777777" w:rsidR="00262732" w:rsidRDefault="00262732" w:rsidP="00262732">
          <w:pPr>
            <w:spacing w:after="28" w:line="259" w:lineRule="auto"/>
            <w:ind w:left="0" w:firstLine="0"/>
            <w:jc w:val="center"/>
            <w:rPr>
              <w:rFonts w:ascii="Calibri" w:eastAsia="Calibri" w:hAnsi="Calibri" w:cs="Calibri"/>
              <w:sz w:val="16"/>
              <w:lang w:val="el-GR"/>
            </w:rPr>
          </w:pPr>
          <w:r>
            <w:rPr>
              <w:rFonts w:ascii="Calibri" w:eastAsia="Calibri" w:hAnsi="Calibri" w:cs="Calibri"/>
              <w:noProof/>
              <w:sz w:val="16"/>
              <w:lang w:val="el-GR"/>
            </w:rPr>
            <w:drawing>
              <wp:inline distT="0" distB="0" distL="0" distR="0" wp14:anchorId="252D2A68" wp14:editId="50C0A5DB">
                <wp:extent cx="1737360" cy="950269"/>
                <wp:effectExtent l="0" t="0" r="0"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8666" cy="961923"/>
                        </a:xfrm>
                        <a:prstGeom prst="rect">
                          <a:avLst/>
                        </a:prstGeom>
                      </pic:spPr>
                    </pic:pic>
                  </a:graphicData>
                </a:graphic>
              </wp:inline>
            </w:drawing>
          </w:r>
        </w:p>
      </w:tc>
      <w:tc>
        <w:tcPr>
          <w:tcW w:w="3183" w:type="dxa"/>
          <w:vAlign w:val="center"/>
        </w:tcPr>
        <w:p w14:paraId="31338116" w14:textId="70B703EF" w:rsidR="00262732" w:rsidRDefault="002A5654" w:rsidP="00262732">
          <w:pPr>
            <w:spacing w:after="28" w:line="259" w:lineRule="auto"/>
            <w:ind w:left="0" w:firstLine="0"/>
            <w:jc w:val="center"/>
            <w:rPr>
              <w:rFonts w:ascii="Calibri" w:eastAsia="Calibri" w:hAnsi="Calibri" w:cs="Calibri"/>
              <w:sz w:val="16"/>
              <w:lang w:val="el-GR"/>
            </w:rPr>
          </w:pPr>
          <w:r>
            <w:rPr>
              <w:noProof/>
            </w:rPr>
            <w:drawing>
              <wp:inline distT="0" distB="0" distL="0" distR="0" wp14:anchorId="381ED200" wp14:editId="116B0C51">
                <wp:extent cx="514350" cy="514350"/>
                <wp:effectExtent l="0" t="0" r="0" b="0"/>
                <wp:docPr id="2099823723" name="Picture 2" descr="A circ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3723" name="Picture 2" descr="A circle with text on i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514402" cy="514402"/>
                        </a:xfrm>
                        <a:prstGeom prst="rect">
                          <a:avLst/>
                        </a:prstGeom>
                      </pic:spPr>
                    </pic:pic>
                  </a:graphicData>
                </a:graphic>
              </wp:inline>
            </w:drawing>
          </w:r>
          <w:r w:rsidR="00262732">
            <w:rPr>
              <w:rFonts w:ascii="Calibri" w:eastAsia="Calibri" w:hAnsi="Calibri" w:cs="Calibri"/>
              <w:noProof/>
              <w:sz w:val="16"/>
              <w:lang w:val="el-GR"/>
            </w:rPr>
            <w:drawing>
              <wp:inline distT="0" distB="0" distL="0" distR="0" wp14:anchorId="09A7A6BE" wp14:editId="7FB474E0">
                <wp:extent cx="972957" cy="875826"/>
                <wp:effectExtent l="0" t="0" r="0" b="63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8489" cy="898809"/>
                        </a:xfrm>
                        <a:prstGeom prst="rect">
                          <a:avLst/>
                        </a:prstGeom>
                      </pic:spPr>
                    </pic:pic>
                  </a:graphicData>
                </a:graphic>
              </wp:inline>
            </w:drawing>
          </w:r>
        </w:p>
      </w:tc>
    </w:tr>
  </w:tbl>
  <w:p w14:paraId="57D0ABDC" w14:textId="5BBC473B" w:rsidR="00262732" w:rsidRDefault="0026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2A9D"/>
    <w:multiLevelType w:val="hybridMultilevel"/>
    <w:tmpl w:val="EC3696D6"/>
    <w:lvl w:ilvl="0" w:tplc="162877E8">
      <w:start w:val="1"/>
      <w:numFmt w:val="decimal"/>
      <w:lvlText w:val="%1"/>
      <w:lvlJc w:val="left"/>
      <w:pPr>
        <w:ind w:left="6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7AA19B6">
      <w:start w:val="1"/>
      <w:numFmt w:val="lowerLetter"/>
      <w:lvlText w:val="%2"/>
      <w:lvlJc w:val="left"/>
      <w:pPr>
        <w:ind w:left="140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A7F4DE76">
      <w:start w:val="1"/>
      <w:numFmt w:val="lowerRoman"/>
      <w:lvlText w:val="%3"/>
      <w:lvlJc w:val="left"/>
      <w:pPr>
        <w:ind w:left="212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C7294FE">
      <w:start w:val="1"/>
      <w:numFmt w:val="decimal"/>
      <w:lvlText w:val="%4"/>
      <w:lvlJc w:val="left"/>
      <w:pPr>
        <w:ind w:left="28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F143564">
      <w:start w:val="1"/>
      <w:numFmt w:val="lowerLetter"/>
      <w:lvlText w:val="%5"/>
      <w:lvlJc w:val="left"/>
      <w:pPr>
        <w:ind w:left="356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8202FA4">
      <w:start w:val="1"/>
      <w:numFmt w:val="lowerRoman"/>
      <w:lvlText w:val="%6"/>
      <w:lvlJc w:val="left"/>
      <w:pPr>
        <w:ind w:left="42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01CFA7A">
      <w:start w:val="1"/>
      <w:numFmt w:val="decimal"/>
      <w:lvlText w:val="%7"/>
      <w:lvlJc w:val="left"/>
      <w:pPr>
        <w:ind w:left="500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E980572">
      <w:start w:val="1"/>
      <w:numFmt w:val="lowerLetter"/>
      <w:lvlText w:val="%8"/>
      <w:lvlJc w:val="left"/>
      <w:pPr>
        <w:ind w:left="572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2F287CC4">
      <w:start w:val="1"/>
      <w:numFmt w:val="lowerRoman"/>
      <w:lvlText w:val="%9"/>
      <w:lvlJc w:val="left"/>
      <w:pPr>
        <w:ind w:left="64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156725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69"/>
    <w:rsid w:val="000101EE"/>
    <w:rsid w:val="001475F8"/>
    <w:rsid w:val="0022101F"/>
    <w:rsid w:val="00262732"/>
    <w:rsid w:val="00264733"/>
    <w:rsid w:val="0027744A"/>
    <w:rsid w:val="002A5654"/>
    <w:rsid w:val="002A5CFF"/>
    <w:rsid w:val="00326F42"/>
    <w:rsid w:val="003368F6"/>
    <w:rsid w:val="00393069"/>
    <w:rsid w:val="00455E14"/>
    <w:rsid w:val="004D3BDC"/>
    <w:rsid w:val="004D6C99"/>
    <w:rsid w:val="00631018"/>
    <w:rsid w:val="006B1718"/>
    <w:rsid w:val="00703EA3"/>
    <w:rsid w:val="00777786"/>
    <w:rsid w:val="00797366"/>
    <w:rsid w:val="00827ADA"/>
    <w:rsid w:val="00927F55"/>
    <w:rsid w:val="00954B2C"/>
    <w:rsid w:val="00A13FA7"/>
    <w:rsid w:val="00B14796"/>
    <w:rsid w:val="00B448B6"/>
    <w:rsid w:val="00C071C9"/>
    <w:rsid w:val="00C4136C"/>
    <w:rsid w:val="00C50FD0"/>
    <w:rsid w:val="00C73CBD"/>
    <w:rsid w:val="00D15CE8"/>
    <w:rsid w:val="00D34592"/>
    <w:rsid w:val="00D35224"/>
    <w:rsid w:val="00D72991"/>
    <w:rsid w:val="00DB0C03"/>
    <w:rsid w:val="00DE6B9B"/>
    <w:rsid w:val="00DF0AB1"/>
    <w:rsid w:val="00DF1438"/>
    <w:rsid w:val="00EA2BAC"/>
    <w:rsid w:val="00EC33B7"/>
    <w:rsid w:val="00EC5AD0"/>
    <w:rsid w:val="00F5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7C7C"/>
  <w15:docId w15:val="{AEEE4A31-A0AD-42A6-86D9-EBE9FC2C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6" w:lineRule="auto"/>
      <w:ind w:left="159" w:hanging="10"/>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7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2732"/>
    <w:rPr>
      <w:rFonts w:ascii="Century Gothic" w:eastAsia="Century Gothic" w:hAnsi="Century Gothic" w:cs="Century Gothic"/>
      <w:color w:val="000000"/>
    </w:rPr>
  </w:style>
  <w:style w:type="paragraph" w:styleId="Footer">
    <w:name w:val="footer"/>
    <w:basedOn w:val="Normal"/>
    <w:link w:val="FooterChar"/>
    <w:uiPriority w:val="99"/>
    <w:unhideWhenUsed/>
    <w:rsid w:val="002627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2732"/>
    <w:rPr>
      <w:rFonts w:ascii="Century Gothic" w:eastAsia="Century Gothic" w:hAnsi="Century Gothic" w:cs="Century Gothic"/>
      <w:color w:val="000000"/>
    </w:rPr>
  </w:style>
  <w:style w:type="character" w:styleId="Strong">
    <w:name w:val="Strong"/>
    <w:basedOn w:val="DefaultParagraphFont"/>
    <w:uiPriority w:val="22"/>
    <w:qFormat/>
    <w:rsid w:val="0063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uth.gr/" TargetMode="External"/><Relationship Id="rId4" Type="http://schemas.openxmlformats.org/officeDocument/2006/relationships/webSettings" Target="webSettings.xml"/><Relationship Id="rId9" Type="http://schemas.openxmlformats.org/officeDocument/2006/relationships/hyperlink" Target="http://uth.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ΕΚΔΗΛΩΣΗ ΥΠΟΔΟΧΗΣ ΦΟΙΤΗΤΩΝ Δ</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ΕΚΔΗΛΩΣΗ ΥΠΟΔΟΧΗΣ ΦΟΙΤΗΤΩΝ Δ</dc:title>
  <dc:subject/>
  <dc:creator>bioepixirin</dc:creator>
  <cp:keywords/>
  <cp:lastModifiedBy>LEONIDAS DIMITRIOS</cp:lastModifiedBy>
  <cp:revision>6</cp:revision>
  <dcterms:created xsi:type="dcterms:W3CDTF">2025-04-11T14:23:00Z</dcterms:created>
  <dcterms:modified xsi:type="dcterms:W3CDTF">2025-04-11T14:29:00Z</dcterms:modified>
</cp:coreProperties>
</file>