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66240" w14:textId="552267FA" w:rsidR="002824BF" w:rsidRDefault="00617449">
      <w:pPr>
        <w:rPr>
          <w:rFonts w:cs="Segoe UI Historic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ΕΚΠΑΙΔΕΥΤΙΚΑ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ΠΡΟΓΡΑΜΜΑΤΑ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ΕΠΙΣΤΗΜΟΝΙΚΗ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ΕΓΚΥΡΟΤΗΤΑ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ΠΑΝΕΠΙΣΤΗΜΙΟΥ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ΘΕΣΣΑΛΙΑΣ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To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«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Εξε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γνωστ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κροβ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»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στοχε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/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τεχν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κροβ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μπορο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γγελμ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γχο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λλοντος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ζοντ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 ή 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 (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ΔΕΥΑ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Ι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 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γγελος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αϊ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θηγητ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4" w:tgtFrame="_blank" w:history="1">
        <w:r>
          <w:rPr>
            <w:rStyle w:val="-"/>
            <w:rFonts w:ascii="inherit" w:hAnsi="inherit" w:cs="Segoe UI Historic"/>
            <w:sz w:val="23"/>
            <w:szCs w:val="23"/>
            <w:bdr w:val="none" w:sz="0" w:space="0" w:color="auto" w:frame="1"/>
          </w:rPr>
          <w:t>https://learning.uth.gr/water_microbiology/</w:t>
        </w:r>
      </w:hyperlink>
    </w:p>
    <w:p w14:paraId="23FBC075" w14:textId="51B82291" w:rsidR="00617449" w:rsidRPr="00617449" w:rsidRDefault="00617449">
      <w:r>
        <w:rPr>
          <w:noProof/>
          <w:lang w:eastAsia="el-GR"/>
        </w:rPr>
        <w:drawing>
          <wp:inline distT="0" distB="0" distL="0" distR="0" wp14:anchorId="2012FAE1" wp14:editId="22F88762">
            <wp:extent cx="4448175" cy="4448175"/>
            <wp:effectExtent l="0" t="0" r="9525" b="9525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449" w:rsidRPr="00617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49"/>
    <w:rsid w:val="00223A85"/>
    <w:rsid w:val="00294700"/>
    <w:rsid w:val="00617449"/>
    <w:rsid w:val="00B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941"/>
  <w15:chartTrackingRefBased/>
  <w15:docId w15:val="{29E0B11C-C807-4906-B344-AEFEFB1A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1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earning.uth.gr/water_microbiology/?fbclid=IwAR3osPBHJe2ZPEpcHlOngUICw1vr0JkjSRBhbXtLeOO_-pC-haVxP1jZct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4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2</cp:revision>
  <dcterms:created xsi:type="dcterms:W3CDTF">2022-01-19T08:03:00Z</dcterms:created>
  <dcterms:modified xsi:type="dcterms:W3CDTF">2022-01-19T08:03:00Z</dcterms:modified>
</cp:coreProperties>
</file>