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49" w:rsidRPr="00B2542E" w:rsidRDefault="003F135F" w:rsidP="00174614">
      <w:pPr>
        <w:tabs>
          <w:tab w:val="center" w:pos="4419"/>
        </w:tabs>
        <w:jc w:val="both"/>
        <w:rPr>
          <w:b/>
          <w:sz w:val="24"/>
          <w:szCs w:val="24"/>
          <w:lang w:val="el-GR"/>
        </w:rPr>
      </w:pPr>
      <w:r w:rsidRPr="00B2542E">
        <w:rPr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rightMargin">
              <wp:posOffset>-2119878</wp:posOffset>
            </wp:positionH>
            <wp:positionV relativeFrom="topMargin">
              <wp:posOffset>577988</wp:posOffset>
            </wp:positionV>
            <wp:extent cx="2790825" cy="2790825"/>
            <wp:effectExtent l="0" t="0" r="9525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D0E" w:rsidRPr="00B2542E">
        <w:rPr>
          <w:b/>
          <w:noProof/>
          <w:sz w:val="24"/>
          <w:szCs w:val="24"/>
          <w:lang w:val="el-GR" w:eastAsia="en-US"/>
        </w:rPr>
        <w:t xml:space="preserve">Βιωματική επαγγελματική κατάρτιση με ψηφιακά δωμάτια διαφυγής </w:t>
      </w:r>
    </w:p>
    <w:p w:rsidR="00FE48F6" w:rsidRPr="00B2542E" w:rsidRDefault="00653F9A" w:rsidP="00653F9A">
      <w:pPr>
        <w:jc w:val="both"/>
        <w:rPr>
          <w:sz w:val="24"/>
          <w:szCs w:val="24"/>
          <w:lang w:val="el-GR"/>
        </w:rPr>
      </w:pPr>
      <w:r w:rsidRPr="00B2542E">
        <w:rPr>
          <w:sz w:val="24"/>
          <w:szCs w:val="24"/>
          <w:lang w:val="el-GR"/>
        </w:rPr>
        <w:t>Το Τμήμα Ηλεκτρολόγων Μηχανικών και Μηχανικών Υπολογιστών</w:t>
      </w:r>
      <w:r w:rsidR="00C12E63" w:rsidRPr="00B2542E">
        <w:rPr>
          <w:sz w:val="24"/>
          <w:szCs w:val="24"/>
          <w:lang w:val="el-GR"/>
        </w:rPr>
        <w:t xml:space="preserve"> </w:t>
      </w:r>
      <w:r w:rsidR="00D60D0E" w:rsidRPr="00B2542E">
        <w:rPr>
          <w:sz w:val="24"/>
          <w:szCs w:val="24"/>
          <w:lang w:val="el-GR"/>
        </w:rPr>
        <w:t xml:space="preserve">του Πανεπιστημίου Θεσσαλίας </w:t>
      </w:r>
      <w:r w:rsidR="00C12E63" w:rsidRPr="00B2542E">
        <w:rPr>
          <w:sz w:val="24"/>
          <w:szCs w:val="24"/>
          <w:lang w:val="el-GR"/>
        </w:rPr>
        <w:t>(ΤΗΜΜΥ)</w:t>
      </w:r>
      <w:r w:rsidRPr="00B2542E">
        <w:rPr>
          <w:sz w:val="24"/>
          <w:szCs w:val="24"/>
          <w:lang w:val="el-GR"/>
        </w:rPr>
        <w:t>, και συγκεκριμμένα η ερευνητική ομάδα Δημιουργικών Τεχνολογιών Μάθησης (</w:t>
      </w:r>
      <w:hyperlink r:id="rId7" w:history="1">
        <w:r w:rsidRPr="00B2542E">
          <w:rPr>
            <w:rStyle w:val="-"/>
            <w:sz w:val="24"/>
            <w:szCs w:val="24"/>
            <w:lang w:val="el-GR"/>
          </w:rPr>
          <w:t>https://ctll.e-ce.uth.gr</w:t>
        </w:r>
      </w:hyperlink>
      <w:r w:rsidRPr="00B2542E">
        <w:rPr>
          <w:sz w:val="24"/>
          <w:szCs w:val="24"/>
          <w:lang w:val="el-GR"/>
        </w:rPr>
        <w:t>)</w:t>
      </w:r>
      <w:r w:rsidR="002F43B4" w:rsidRPr="00B2542E">
        <w:rPr>
          <w:sz w:val="24"/>
          <w:szCs w:val="24"/>
          <w:lang w:val="el-GR"/>
        </w:rPr>
        <w:t>,</w:t>
      </w:r>
      <w:r w:rsidRPr="00B2542E">
        <w:rPr>
          <w:sz w:val="24"/>
          <w:szCs w:val="24"/>
          <w:lang w:val="el-GR"/>
        </w:rPr>
        <w:t xml:space="preserve"> σχεδιάζει καινοτόμες </w:t>
      </w:r>
      <w:r w:rsidR="002F43B4" w:rsidRPr="00B2542E">
        <w:rPr>
          <w:sz w:val="24"/>
          <w:szCs w:val="24"/>
          <w:lang w:val="el-GR"/>
        </w:rPr>
        <w:t xml:space="preserve">ψηφιακές </w:t>
      </w:r>
      <w:r w:rsidRPr="00B2542E">
        <w:rPr>
          <w:sz w:val="24"/>
          <w:szCs w:val="24"/>
          <w:lang w:val="el-GR"/>
        </w:rPr>
        <w:t xml:space="preserve">δραστηριότητες βιωματικής μάθησης </w:t>
      </w:r>
      <w:r w:rsidR="002F43B4" w:rsidRPr="00B2542E">
        <w:rPr>
          <w:sz w:val="24"/>
          <w:szCs w:val="24"/>
          <w:lang w:val="el-GR"/>
        </w:rPr>
        <w:t>για επαγγελματική κατάρτιση. Οι δραστηριότητες προ</w:t>
      </w:r>
      <w:r w:rsidRPr="00B2542E">
        <w:rPr>
          <w:sz w:val="24"/>
          <w:szCs w:val="24"/>
          <w:lang w:val="el-GR"/>
        </w:rPr>
        <w:t xml:space="preserve">ετοιμάζουν </w:t>
      </w:r>
      <w:r w:rsidR="00D60D0E" w:rsidRPr="00B2542E">
        <w:rPr>
          <w:sz w:val="24"/>
          <w:szCs w:val="24"/>
          <w:lang w:val="el-GR"/>
        </w:rPr>
        <w:t xml:space="preserve">τους </w:t>
      </w:r>
      <w:r w:rsidR="00B2542E" w:rsidRPr="00B2542E">
        <w:rPr>
          <w:sz w:val="24"/>
          <w:szCs w:val="24"/>
          <w:lang w:val="el-GR"/>
        </w:rPr>
        <w:t>διδάσκοντες</w:t>
      </w:r>
      <w:r w:rsidR="00FE48F6" w:rsidRPr="00B2542E">
        <w:rPr>
          <w:sz w:val="24"/>
          <w:szCs w:val="24"/>
          <w:lang w:val="el-GR"/>
        </w:rPr>
        <w:t xml:space="preserve"> </w:t>
      </w:r>
      <w:r w:rsidRPr="00B2542E">
        <w:rPr>
          <w:sz w:val="24"/>
          <w:szCs w:val="24"/>
          <w:lang w:val="el-GR"/>
        </w:rPr>
        <w:t xml:space="preserve">για να αντιμετωπίσουν τις αναδυόμενες προκλήσεις σχεδιασμού </w:t>
      </w:r>
      <w:r w:rsidR="002F43B4" w:rsidRPr="00B2542E">
        <w:rPr>
          <w:sz w:val="24"/>
          <w:szCs w:val="24"/>
          <w:lang w:val="el-GR"/>
        </w:rPr>
        <w:t>μάθησης στο σημερινό συνεχώς εξελισσόμενο επαγγελματικό περιβάλλον</w:t>
      </w:r>
      <w:r w:rsidR="00D60D0E" w:rsidRPr="00B2542E">
        <w:rPr>
          <w:sz w:val="24"/>
          <w:szCs w:val="24"/>
          <w:lang w:val="el-GR"/>
        </w:rPr>
        <w:t xml:space="preserve"> που </w:t>
      </w:r>
      <w:r w:rsidR="00FE48F6" w:rsidRPr="00B2542E">
        <w:rPr>
          <w:sz w:val="24"/>
          <w:szCs w:val="24"/>
          <w:lang w:val="el-GR"/>
        </w:rPr>
        <w:t>εισάγει την ανάγκη</w:t>
      </w:r>
      <w:r w:rsidR="002F43B4" w:rsidRPr="00B2542E">
        <w:rPr>
          <w:sz w:val="24"/>
          <w:szCs w:val="24"/>
          <w:lang w:val="el-GR"/>
        </w:rPr>
        <w:t xml:space="preserve"> </w:t>
      </w:r>
      <w:r w:rsidR="00FE48F6" w:rsidRPr="00B2542E">
        <w:rPr>
          <w:sz w:val="24"/>
          <w:szCs w:val="24"/>
          <w:lang w:val="el-GR"/>
        </w:rPr>
        <w:t xml:space="preserve">για </w:t>
      </w:r>
      <w:r w:rsidR="002F43B4" w:rsidRPr="00B2542E">
        <w:rPr>
          <w:sz w:val="24"/>
          <w:szCs w:val="24"/>
          <w:lang w:val="el-GR"/>
        </w:rPr>
        <w:t xml:space="preserve">δια βίου </w:t>
      </w:r>
      <w:r w:rsidR="00B2542E" w:rsidRPr="00B2542E">
        <w:rPr>
          <w:sz w:val="24"/>
          <w:szCs w:val="24"/>
          <w:lang w:val="el-GR"/>
        </w:rPr>
        <w:t>εκπαίδευση</w:t>
      </w:r>
      <w:r w:rsidR="002F43B4" w:rsidRPr="00B2542E">
        <w:rPr>
          <w:sz w:val="24"/>
          <w:szCs w:val="24"/>
          <w:lang w:val="el-GR"/>
        </w:rPr>
        <w:t xml:space="preserve"> </w:t>
      </w:r>
      <w:r w:rsidR="00D60D0E" w:rsidRPr="00B2542E">
        <w:rPr>
          <w:sz w:val="24"/>
          <w:szCs w:val="24"/>
          <w:lang w:val="el-GR"/>
        </w:rPr>
        <w:t>στοχεύοντας</w:t>
      </w:r>
      <w:r w:rsidR="00FE48F6" w:rsidRPr="00B2542E">
        <w:rPr>
          <w:sz w:val="24"/>
          <w:szCs w:val="24"/>
          <w:lang w:val="el-GR"/>
        </w:rPr>
        <w:t xml:space="preserve"> </w:t>
      </w:r>
      <w:r w:rsidR="00D60D0E" w:rsidRPr="00B2542E">
        <w:rPr>
          <w:sz w:val="24"/>
          <w:szCs w:val="24"/>
          <w:lang w:val="el-GR"/>
        </w:rPr>
        <w:t>σ</w:t>
      </w:r>
      <w:r w:rsidR="00FE48F6" w:rsidRPr="00B2542E">
        <w:rPr>
          <w:sz w:val="24"/>
          <w:szCs w:val="24"/>
          <w:lang w:val="el-GR"/>
        </w:rPr>
        <w:t xml:space="preserve">τη συνεχή </w:t>
      </w:r>
      <w:r w:rsidR="002F43B4" w:rsidRPr="00B2542E">
        <w:rPr>
          <w:sz w:val="24"/>
          <w:szCs w:val="24"/>
          <w:lang w:val="el-GR"/>
        </w:rPr>
        <w:t>ανανέωση των προσόντων των επαγγε</w:t>
      </w:r>
      <w:r w:rsidR="00FE48F6" w:rsidRPr="00B2542E">
        <w:rPr>
          <w:sz w:val="24"/>
          <w:szCs w:val="24"/>
          <w:lang w:val="el-GR"/>
        </w:rPr>
        <w:t>λματι</w:t>
      </w:r>
      <w:r w:rsidR="002F43B4" w:rsidRPr="00B2542E">
        <w:rPr>
          <w:sz w:val="24"/>
          <w:szCs w:val="24"/>
          <w:lang w:val="el-GR"/>
        </w:rPr>
        <w:t xml:space="preserve">ών με τρόπο που ενισχύει τις </w:t>
      </w:r>
      <w:r w:rsidR="00FE48F6" w:rsidRPr="00B2542E">
        <w:rPr>
          <w:sz w:val="24"/>
          <w:szCs w:val="24"/>
          <w:lang w:val="el-GR"/>
        </w:rPr>
        <w:t xml:space="preserve">μελλοντικές τους </w:t>
      </w:r>
      <w:r w:rsidR="002F43B4" w:rsidRPr="00B2542E">
        <w:rPr>
          <w:sz w:val="24"/>
          <w:szCs w:val="24"/>
          <w:lang w:val="el-GR"/>
        </w:rPr>
        <w:t>προοπτικές</w:t>
      </w:r>
      <w:r w:rsidR="00FE48F6" w:rsidRPr="00B2542E">
        <w:rPr>
          <w:sz w:val="24"/>
          <w:szCs w:val="24"/>
          <w:lang w:val="el-GR"/>
        </w:rPr>
        <w:t xml:space="preserve"> απασχόλησης</w:t>
      </w:r>
      <w:r w:rsidR="002F43B4" w:rsidRPr="00B2542E">
        <w:rPr>
          <w:sz w:val="24"/>
          <w:szCs w:val="24"/>
          <w:lang w:val="el-GR"/>
        </w:rPr>
        <w:t>.</w:t>
      </w:r>
      <w:r w:rsidR="00FE48F6" w:rsidRPr="00B2542E">
        <w:rPr>
          <w:sz w:val="24"/>
          <w:szCs w:val="24"/>
          <w:lang w:val="el-GR"/>
        </w:rPr>
        <w:t xml:space="preserve"> </w:t>
      </w:r>
    </w:p>
    <w:p w:rsidR="002F43B4" w:rsidRPr="00B2542E" w:rsidRDefault="00FE48F6" w:rsidP="00653F9A">
      <w:pPr>
        <w:jc w:val="both"/>
        <w:rPr>
          <w:sz w:val="24"/>
          <w:szCs w:val="24"/>
          <w:lang w:val="el-GR"/>
        </w:rPr>
      </w:pPr>
      <w:r w:rsidRPr="00B2542E">
        <w:rPr>
          <w:sz w:val="24"/>
          <w:szCs w:val="24"/>
          <w:lang w:val="el-GR"/>
        </w:rPr>
        <w:t xml:space="preserve">H προτεινόμενη μαθησιακή παρέμβαση εφαρμόζει καινοτόμες πρακτικές </w:t>
      </w:r>
      <w:r w:rsidR="00435665" w:rsidRPr="00B2542E">
        <w:rPr>
          <w:sz w:val="24"/>
          <w:szCs w:val="24"/>
          <w:lang w:val="el-GR"/>
        </w:rPr>
        <w:t>ανάπτυξης</w:t>
      </w:r>
      <w:r w:rsidRPr="00B2542E">
        <w:rPr>
          <w:sz w:val="24"/>
          <w:szCs w:val="24"/>
          <w:lang w:val="el-GR"/>
        </w:rPr>
        <w:t xml:space="preserve"> δεξιοτήτων που βασίζονται σε ψηφιακά δωμάτια διαφυγής (escape rooms). Η μέθοδος προσφέρει μαθησιακά</w:t>
      </w:r>
      <w:r w:rsidR="00C12E63" w:rsidRPr="00B2542E">
        <w:rPr>
          <w:sz w:val="24"/>
          <w:szCs w:val="24"/>
          <w:lang w:val="el-GR"/>
        </w:rPr>
        <w:t xml:space="preserve"> ωφέλη μέσω </w:t>
      </w:r>
      <w:r w:rsidRPr="00B2542E">
        <w:rPr>
          <w:sz w:val="24"/>
          <w:szCs w:val="24"/>
          <w:lang w:val="el-GR"/>
        </w:rPr>
        <w:t>της ενεργούς</w:t>
      </w:r>
      <w:r w:rsidR="00C12E63" w:rsidRPr="00B2542E">
        <w:rPr>
          <w:sz w:val="24"/>
          <w:szCs w:val="24"/>
          <w:lang w:val="el-GR"/>
        </w:rPr>
        <w:t xml:space="preserve"> μάθησης, της διάδρασης, και της ενίσχυσης των εσωτερικών κινήτρων των επαγγελματιών για </w:t>
      </w:r>
      <w:r w:rsidRPr="00B2542E">
        <w:rPr>
          <w:sz w:val="24"/>
          <w:szCs w:val="24"/>
          <w:lang w:val="el-GR"/>
        </w:rPr>
        <w:t>συμμετοχή σε εκπαιδευτικές</w:t>
      </w:r>
      <w:r w:rsidR="00C12E63" w:rsidRPr="00B2542E">
        <w:rPr>
          <w:sz w:val="24"/>
          <w:szCs w:val="24"/>
          <w:lang w:val="el-GR"/>
        </w:rPr>
        <w:t xml:space="preserve"> διαδικασίες που συμβάλλουν στο κτίσιμο βασικών γνώσεων και ήπιων δεξιοτήτων</w:t>
      </w:r>
      <w:r w:rsidR="00435665" w:rsidRPr="00B2542E">
        <w:rPr>
          <w:sz w:val="24"/>
          <w:szCs w:val="24"/>
          <w:lang w:val="el-GR"/>
        </w:rPr>
        <w:t>, όπως ικανοτή</w:t>
      </w:r>
      <w:r w:rsidR="00B2542E" w:rsidRPr="00B2542E">
        <w:rPr>
          <w:sz w:val="24"/>
          <w:szCs w:val="24"/>
          <w:lang w:val="el-GR"/>
        </w:rPr>
        <w:t>των επίλυσης προβλημάτων, επικο</w:t>
      </w:r>
      <w:r w:rsidR="00435665" w:rsidRPr="00B2542E">
        <w:rPr>
          <w:sz w:val="24"/>
          <w:szCs w:val="24"/>
          <w:lang w:val="el-GR"/>
        </w:rPr>
        <w:t>ινωνίας, και κριτικής σκέψης,</w:t>
      </w:r>
      <w:r w:rsidR="00C12E63" w:rsidRPr="00B2542E">
        <w:rPr>
          <w:sz w:val="24"/>
          <w:szCs w:val="24"/>
          <w:lang w:val="el-GR"/>
        </w:rPr>
        <w:t xml:space="preserve"> και ενισχύουν το επαγγελματικό τους προφίλ </w:t>
      </w:r>
      <w:r w:rsidR="00B2542E" w:rsidRPr="00B2542E">
        <w:rPr>
          <w:sz w:val="24"/>
          <w:szCs w:val="24"/>
          <w:lang w:val="el-GR"/>
        </w:rPr>
        <w:t>διευρύνοντας τις επαγγελματικές τους επιλογές</w:t>
      </w:r>
      <w:r w:rsidR="00C12E63" w:rsidRPr="00B2542E">
        <w:rPr>
          <w:sz w:val="24"/>
          <w:szCs w:val="24"/>
          <w:lang w:val="el-GR"/>
        </w:rPr>
        <w:t>.</w:t>
      </w:r>
      <w:r w:rsidR="00435665" w:rsidRPr="00B2542E">
        <w:rPr>
          <w:sz w:val="24"/>
          <w:szCs w:val="24"/>
          <w:lang w:val="el-GR"/>
        </w:rPr>
        <w:t xml:space="preserve"> </w:t>
      </w:r>
      <w:r w:rsidR="00D60D0E" w:rsidRPr="00B2542E">
        <w:rPr>
          <w:sz w:val="24"/>
          <w:szCs w:val="24"/>
          <w:lang w:val="el-GR"/>
        </w:rPr>
        <w:t xml:space="preserve">Στα πλαίσια της μαθησιακής </w:t>
      </w:r>
      <w:r w:rsidR="00B2542E" w:rsidRPr="00B2542E">
        <w:rPr>
          <w:sz w:val="24"/>
          <w:szCs w:val="24"/>
          <w:lang w:val="el-GR"/>
        </w:rPr>
        <w:t>παρέμβασης α</w:t>
      </w:r>
      <w:r w:rsidR="00D60D0E" w:rsidRPr="00B2542E">
        <w:rPr>
          <w:sz w:val="24"/>
          <w:szCs w:val="24"/>
          <w:lang w:val="el-GR"/>
        </w:rPr>
        <w:t xml:space="preserve">ναπτύσσεται επίσης εκπαιδευτικό περιεχόμενο που απευθύνεται σε διδάσκοντες </w:t>
      </w:r>
      <w:r w:rsidR="00B2542E" w:rsidRPr="00B2542E">
        <w:rPr>
          <w:sz w:val="24"/>
          <w:szCs w:val="24"/>
          <w:lang w:val="el-GR"/>
        </w:rPr>
        <w:t>και ενισχύει</w:t>
      </w:r>
      <w:r w:rsidR="00D60D0E" w:rsidRPr="00B2542E">
        <w:rPr>
          <w:sz w:val="24"/>
          <w:szCs w:val="24"/>
          <w:lang w:val="el-GR"/>
        </w:rPr>
        <w:t xml:space="preserve"> τις </w:t>
      </w:r>
      <w:r w:rsidR="00B2542E" w:rsidRPr="00B2542E">
        <w:rPr>
          <w:sz w:val="24"/>
          <w:szCs w:val="24"/>
          <w:lang w:val="el-GR"/>
        </w:rPr>
        <w:t>δεξιότητες</w:t>
      </w:r>
      <w:r w:rsidR="00D60D0E" w:rsidRPr="00B2542E">
        <w:rPr>
          <w:sz w:val="24"/>
          <w:szCs w:val="24"/>
          <w:lang w:val="el-GR"/>
        </w:rPr>
        <w:t xml:space="preserve"> τους </w:t>
      </w:r>
      <w:r w:rsidR="00435665" w:rsidRPr="00B2542E">
        <w:rPr>
          <w:sz w:val="24"/>
          <w:szCs w:val="24"/>
          <w:lang w:val="el-GR"/>
        </w:rPr>
        <w:t xml:space="preserve">στην πρακτική εφαρμογή </w:t>
      </w:r>
      <w:r w:rsidR="00B2542E" w:rsidRPr="00B2542E">
        <w:rPr>
          <w:sz w:val="24"/>
          <w:szCs w:val="24"/>
          <w:lang w:val="el-GR"/>
        </w:rPr>
        <w:t xml:space="preserve">ψηφιακών </w:t>
      </w:r>
      <w:r w:rsidR="00435665" w:rsidRPr="00B2542E">
        <w:rPr>
          <w:sz w:val="24"/>
          <w:szCs w:val="24"/>
          <w:lang w:val="el-GR"/>
        </w:rPr>
        <w:t xml:space="preserve">δωματίων διαφυγής σε διαδικασίες μάθησης καθώς και στη δημιουργία δικών τους σχετικών </w:t>
      </w:r>
      <w:r w:rsidR="00D60D0E" w:rsidRPr="00B2542E">
        <w:rPr>
          <w:sz w:val="24"/>
          <w:szCs w:val="24"/>
          <w:lang w:val="el-GR"/>
        </w:rPr>
        <w:t xml:space="preserve">δραστηριοτήτων. </w:t>
      </w:r>
    </w:p>
    <w:p w:rsidR="002F43B4" w:rsidRPr="00B2542E" w:rsidRDefault="00B2542E" w:rsidP="002F43B4">
      <w:pPr>
        <w:autoSpaceDE w:val="0"/>
        <w:autoSpaceDN w:val="0"/>
        <w:adjustRightInd w:val="0"/>
        <w:spacing w:after="0" w:line="240" w:lineRule="auto"/>
        <w:rPr>
          <w:rFonts w:asciiTheme="majorHAnsi" w:eastAsia="FreeSans" w:hAnsiTheme="majorHAnsi" w:cstheme="majorHAnsi"/>
          <w:sz w:val="24"/>
          <w:szCs w:val="24"/>
          <w:lang w:val="el-GR"/>
        </w:rPr>
      </w:pPr>
      <w:r w:rsidRPr="00B2542E">
        <w:rPr>
          <w:sz w:val="24"/>
          <w:szCs w:val="24"/>
          <w:lang w:val="el-GR"/>
        </w:rPr>
        <w:t>Η μαθησιακή παρέμβαση υλοποιείται</w:t>
      </w:r>
      <w:r w:rsidR="002F43B4" w:rsidRPr="00B2542E">
        <w:rPr>
          <w:sz w:val="24"/>
          <w:szCs w:val="24"/>
          <w:lang w:val="el-GR"/>
        </w:rPr>
        <w:t xml:space="preserve"> στα πλαίσια του ερευνητικού έργου </w:t>
      </w:r>
      <w:r w:rsidR="002F43B4" w:rsidRPr="00B2542E">
        <w:rPr>
          <w:rFonts w:asciiTheme="majorHAnsi" w:hAnsiTheme="majorHAnsi" w:cstheme="majorHAnsi"/>
          <w:sz w:val="24"/>
          <w:szCs w:val="24"/>
          <w:lang w:val="el-GR"/>
        </w:rPr>
        <w:t xml:space="preserve">ELMET: </w:t>
      </w:r>
      <w:r w:rsidR="002F43B4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>Experiential Learning Methodologies addressing Vulnerable Employed and</w:t>
      </w:r>
    </w:p>
    <w:p w:rsidR="00356EA9" w:rsidRPr="00356EA9" w:rsidRDefault="002F43B4" w:rsidP="002F43B4">
      <w:pPr>
        <w:pBdr>
          <w:bottom w:val="single" w:sz="12" w:space="1" w:color="auto"/>
        </w:pBdr>
        <w:jc w:val="both"/>
        <w:rPr>
          <w:rFonts w:asciiTheme="majorHAnsi" w:eastAsia="FreeSans" w:hAnsiTheme="majorHAnsi" w:cstheme="majorHAnsi"/>
          <w:sz w:val="24"/>
          <w:szCs w:val="24"/>
          <w:lang w:val="el-GR"/>
        </w:rPr>
      </w:pPr>
      <w:r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>Unemployed People</w:t>
      </w:r>
      <w:r w:rsidR="00C12E63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 (http://elmetproject.eu)</w:t>
      </w:r>
      <w:r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 που χρηματοδοτείται από το πρόγραμμα Erasmus+ της Ευρωπαϊκής Επιτροπής</w:t>
      </w:r>
      <w:r w:rsidR="00C12E63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 και υλοποιείται από το 2020 μέχρι το 2022</w:t>
      </w:r>
      <w:r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>.</w:t>
      </w:r>
      <w:r w:rsidR="00C12E63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 Επιστημονικά υπεύθυνη του έργου είναι το μέλος ΕΔΙΠ του ΤΗΜΜΥ </w:t>
      </w:r>
      <w:r w:rsidR="00B2542E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κ. </w:t>
      </w:r>
      <w:r w:rsidR="00C12E63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>Χαρίκλεια Τσαλαπάτα</w:t>
      </w:r>
      <w:r w:rsidR="00435665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 ενώ αναπληρωτής επιστημονικά υπεύθυνος είναι ο Ομ. Καθ.</w:t>
      </w:r>
      <w:r w:rsidR="00B2542E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 του ΤΗΜΜΥ κ. </w:t>
      </w:r>
      <w:r w:rsidR="00435665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>Ηλίας Χούστης.</w:t>
      </w:r>
      <w:r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 xml:space="preserve"> </w:t>
      </w:r>
      <w:r w:rsidR="00D60D0E" w:rsidRPr="00B2542E">
        <w:rPr>
          <w:rFonts w:asciiTheme="majorHAnsi" w:eastAsia="FreeSans" w:hAnsiTheme="majorHAnsi" w:cstheme="majorHAnsi"/>
          <w:sz w:val="24"/>
          <w:szCs w:val="24"/>
          <w:lang w:val="el-GR"/>
        </w:rPr>
        <w:t>Εκτός από το Πανεπιστήμιο Θεσσαλίας στο ερευνητικό έργο συμμετέχουν εκπαιδευτικοί οργανισμοί από την Ισπανία, την Κύπρο, και τη Βουλγαρία.</w:t>
      </w:r>
    </w:p>
    <w:p w:rsidR="00726562" w:rsidRPr="00726562" w:rsidRDefault="00726562" w:rsidP="00726562">
      <w:pPr>
        <w:jc w:val="both"/>
        <w:rPr>
          <w:rFonts w:asciiTheme="majorHAnsi" w:eastAsia="FreeSans" w:hAnsiTheme="majorHAnsi" w:cstheme="majorHAnsi"/>
          <w:b/>
          <w:sz w:val="24"/>
          <w:szCs w:val="24"/>
          <w:lang w:val="en-GB"/>
        </w:rPr>
      </w:pPr>
      <w:r w:rsidRPr="00726562">
        <w:rPr>
          <w:rFonts w:asciiTheme="majorHAnsi" w:eastAsia="FreeSans" w:hAnsiTheme="majorHAnsi" w:cstheme="majorHAnsi"/>
          <w:b/>
          <w:sz w:val="24"/>
          <w:szCs w:val="24"/>
          <w:lang w:val="en-GB"/>
        </w:rPr>
        <w:t xml:space="preserve">Experiential vocational training </w:t>
      </w:r>
      <w:r>
        <w:rPr>
          <w:rFonts w:asciiTheme="majorHAnsi" w:eastAsia="FreeSans" w:hAnsiTheme="majorHAnsi" w:cstheme="majorHAnsi"/>
          <w:b/>
          <w:sz w:val="24"/>
          <w:szCs w:val="24"/>
          <w:lang w:val="en-GB"/>
        </w:rPr>
        <w:t>through</w:t>
      </w:r>
      <w:r w:rsidRPr="00726562">
        <w:rPr>
          <w:rFonts w:asciiTheme="majorHAnsi" w:eastAsia="FreeSans" w:hAnsiTheme="majorHAnsi" w:cstheme="majorHAnsi"/>
          <w:b/>
          <w:sz w:val="24"/>
          <w:szCs w:val="24"/>
          <w:lang w:val="en-GB"/>
        </w:rPr>
        <w:t xml:space="preserve"> digital escape rooms </w:t>
      </w:r>
    </w:p>
    <w:p w:rsidR="00726562" w:rsidRPr="00726562" w:rsidRDefault="00726562" w:rsidP="00726562">
      <w:pPr>
        <w:jc w:val="both"/>
        <w:rPr>
          <w:rFonts w:asciiTheme="majorHAnsi" w:eastAsia="FreeSans" w:hAnsiTheme="majorHAnsi" w:cstheme="majorHAnsi"/>
          <w:sz w:val="24"/>
          <w:szCs w:val="24"/>
          <w:lang w:val="en-GB"/>
        </w:rPr>
      </w:pP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>The Department of Electrical and Computer Engineering of t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he University of Thessaly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, and in particular the 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informal Creative Technologies Learning Lab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(https://ctll.e-ce.uth.gr), designs innovative digital experiential learning activities for vocational training. The activities prepare 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trainers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to address emerging learning 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design challenges in today's ever 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evolving professional environment that introduces the need for lifelong learning aiming at the continuous renewal of professionals' qualifications in a way that enhances their future employment prospects. </w:t>
      </w:r>
    </w:p>
    <w:p w:rsidR="00726562" w:rsidRPr="00726562" w:rsidRDefault="00726562" w:rsidP="00726562">
      <w:pPr>
        <w:jc w:val="both"/>
        <w:rPr>
          <w:rFonts w:asciiTheme="majorHAnsi" w:eastAsia="FreeSans" w:hAnsiTheme="majorHAnsi" w:cstheme="majorHAnsi"/>
          <w:sz w:val="24"/>
          <w:szCs w:val="24"/>
          <w:lang w:val="en-GB"/>
        </w:rPr>
      </w:pP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lastRenderedPageBreak/>
        <w:t>The proposed learning intervent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ion implements innovative skill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development practices based on digital escape rooms. The method offers learning benefits through active learning, interaction, and en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hancing the internal motivation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of professionals to participate in educational processes that contribute to the buil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ding of basic knowledge and soft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skills, such as problem solving, communicati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on, and critical thinking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, and enhance their professional profile 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thus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broadening their 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employment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choices. As part of the learning intervention, educational content aimed at teacher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s is also developed aiming at enhancing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 xml:space="preserve"> their skills in the practical application of digital escape rooms in learning processes as well as in the creation of their own related activities. </w:t>
      </w:r>
    </w:p>
    <w:p w:rsidR="00726562" w:rsidRPr="00726562" w:rsidRDefault="00726562" w:rsidP="00726562">
      <w:pPr>
        <w:jc w:val="both"/>
        <w:rPr>
          <w:rFonts w:asciiTheme="majorHAnsi" w:eastAsia="FreeSans" w:hAnsiTheme="majorHAnsi" w:cstheme="majorHAnsi"/>
          <w:sz w:val="24"/>
          <w:szCs w:val="24"/>
          <w:lang w:val="en-GB"/>
        </w:rPr>
      </w:pP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>The learning intervention is carried out within the framework of the research project ELMET: Experimental Lear</w:t>
      </w:r>
      <w:r w:rsidR="00B065FA">
        <w:rPr>
          <w:rFonts w:asciiTheme="majorHAnsi" w:eastAsia="FreeSans" w:hAnsiTheme="majorHAnsi" w:cstheme="majorHAnsi"/>
          <w:sz w:val="24"/>
          <w:szCs w:val="24"/>
          <w:lang w:val="en-GB"/>
        </w:rPr>
        <w:t>ning Methodologies addressing V</w:t>
      </w: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>ulnerable Employed and</w:t>
      </w:r>
    </w:p>
    <w:p w:rsidR="00726562" w:rsidRPr="00726562" w:rsidRDefault="00726562" w:rsidP="00726562">
      <w:pPr>
        <w:jc w:val="both"/>
        <w:rPr>
          <w:rFonts w:asciiTheme="majorHAnsi" w:eastAsia="FreeSans" w:hAnsiTheme="majorHAnsi" w:cstheme="majorHAnsi"/>
          <w:sz w:val="24"/>
          <w:szCs w:val="24"/>
          <w:lang w:val="en-GB"/>
        </w:rPr>
      </w:pPr>
      <w:r w:rsidRPr="00726562">
        <w:rPr>
          <w:rFonts w:asciiTheme="majorHAnsi" w:eastAsia="FreeSans" w:hAnsiTheme="majorHAnsi" w:cstheme="majorHAnsi"/>
          <w:sz w:val="24"/>
          <w:szCs w:val="24"/>
          <w:lang w:val="en-GB"/>
        </w:rPr>
        <w:t>Employed People (http://elmetproject.eu) funded by the European Commission's Erasmus+ programme and implemented from 2020 to 2022. In addition to the University of Thessaly, educational organizations from Spain, Cyprus, and Bulgaria participate in the research project.</w:t>
      </w:r>
    </w:p>
    <w:p w:rsidR="00726562" w:rsidRPr="00726562" w:rsidRDefault="00726562">
      <w:pPr>
        <w:jc w:val="both"/>
        <w:rPr>
          <w:rFonts w:asciiTheme="majorHAnsi" w:eastAsia="FreeSans" w:hAnsiTheme="majorHAnsi" w:cstheme="majorHAnsi"/>
          <w:sz w:val="24"/>
          <w:szCs w:val="24"/>
          <w:lang w:val="en-US"/>
        </w:rPr>
      </w:pPr>
    </w:p>
    <w:sectPr w:rsidR="00726562" w:rsidRPr="00726562" w:rsidSect="00811F8F">
      <w:pgSz w:w="12240" w:h="15840"/>
      <w:pgMar w:top="1417" w:right="1701" w:bottom="851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229"/>
    <w:multiLevelType w:val="multilevel"/>
    <w:tmpl w:val="53F67212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E75A49"/>
    <w:rsid w:val="000175D6"/>
    <w:rsid w:val="000723AD"/>
    <w:rsid w:val="00174614"/>
    <w:rsid w:val="001A1849"/>
    <w:rsid w:val="00213F90"/>
    <w:rsid w:val="00261D94"/>
    <w:rsid w:val="002F43B4"/>
    <w:rsid w:val="003359FA"/>
    <w:rsid w:val="00356EA9"/>
    <w:rsid w:val="003F135F"/>
    <w:rsid w:val="004069A7"/>
    <w:rsid w:val="00435665"/>
    <w:rsid w:val="00646DA1"/>
    <w:rsid w:val="00653F9A"/>
    <w:rsid w:val="0069522C"/>
    <w:rsid w:val="006A0909"/>
    <w:rsid w:val="006A0B3D"/>
    <w:rsid w:val="006E3E38"/>
    <w:rsid w:val="006F59AE"/>
    <w:rsid w:val="007048BF"/>
    <w:rsid w:val="00726562"/>
    <w:rsid w:val="0078505A"/>
    <w:rsid w:val="007F0B6C"/>
    <w:rsid w:val="00811F8F"/>
    <w:rsid w:val="008166AE"/>
    <w:rsid w:val="00940DA7"/>
    <w:rsid w:val="00A4350C"/>
    <w:rsid w:val="00B065FA"/>
    <w:rsid w:val="00B2542E"/>
    <w:rsid w:val="00B329EA"/>
    <w:rsid w:val="00B67DF2"/>
    <w:rsid w:val="00C10DD1"/>
    <w:rsid w:val="00C12E63"/>
    <w:rsid w:val="00C4063A"/>
    <w:rsid w:val="00D60D0E"/>
    <w:rsid w:val="00DB5BB6"/>
    <w:rsid w:val="00E75A49"/>
    <w:rsid w:val="00EE3069"/>
    <w:rsid w:val="00F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3D"/>
  </w:style>
  <w:style w:type="paragraph" w:styleId="1">
    <w:name w:val="heading 1"/>
    <w:basedOn w:val="a"/>
    <w:next w:val="a"/>
    <w:uiPriority w:val="9"/>
    <w:qFormat/>
    <w:rsid w:val="006A0B3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A0B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A0B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A0B3D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rsid w:val="006A0B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A0B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6A0B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A0B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A0B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A0B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6">
    <w:name w:val="Table Grid"/>
    <w:basedOn w:val="a1"/>
    <w:uiPriority w:val="39"/>
    <w:rsid w:val="0021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E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E3E3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3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tll.e-ce.uth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131B-ABA7-404D-83AD-053173DF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3389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Diputación Foral de Alava Arabako foru aldundia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 Benito, Belen</dc:creator>
  <cp:lastModifiedBy>Χρήστης των Windows</cp:lastModifiedBy>
  <cp:revision>2</cp:revision>
  <dcterms:created xsi:type="dcterms:W3CDTF">2021-03-11T06:29:00Z</dcterms:created>
  <dcterms:modified xsi:type="dcterms:W3CDTF">2021-03-11T06:29:00Z</dcterms:modified>
</cp:coreProperties>
</file>