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4"/>
        <w:ind w:left="7197" w:right="102" w:firstLine="0"/>
        <w:jc w:val="both"/>
        <w:rPr>
          <w:sz w:val="18"/>
        </w:rPr>
      </w:pPr>
      <w:r>
        <w:rPr/>
        <w:drawing>
          <wp:anchor distT="0" distB="0" distL="0" distR="0" allowOverlap="1" layoutInCell="1" locked="0" behindDoc="0" simplePos="0" relativeHeight="251659264">
            <wp:simplePos x="0" y="0"/>
            <wp:positionH relativeFrom="page">
              <wp:posOffset>63044</wp:posOffset>
            </wp:positionH>
            <wp:positionV relativeFrom="paragraph">
              <wp:posOffset>144770</wp:posOffset>
            </wp:positionV>
            <wp:extent cx="1858645" cy="399918"/>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858645" cy="399918"/>
                    </a:xfrm>
                    <a:prstGeom prst="rect">
                      <a:avLst/>
                    </a:prstGeom>
                  </pic:spPr>
                </pic:pic>
              </a:graphicData>
            </a:graphic>
          </wp:anchor>
        </w:drawing>
      </w:r>
      <w:r>
        <w:rPr/>
        <w:drawing>
          <wp:anchor distT="0" distB="0" distL="0" distR="0" allowOverlap="1" layoutInCell="1" locked="0" behindDoc="0" simplePos="0" relativeHeight="251660288">
            <wp:simplePos x="0" y="0"/>
            <wp:positionH relativeFrom="page">
              <wp:posOffset>3733980</wp:posOffset>
            </wp:positionH>
            <wp:positionV relativeFrom="paragraph">
              <wp:posOffset>144770</wp:posOffset>
            </wp:positionV>
            <wp:extent cx="694689" cy="462717"/>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694689" cy="462717"/>
                    </a:xfrm>
                    <a:prstGeom prst="rect">
                      <a:avLst/>
                    </a:prstGeom>
                  </pic:spPr>
                </pic:pic>
              </a:graphicData>
            </a:graphic>
          </wp:anchor>
        </w:drawing>
      </w:r>
      <w:r>
        <w:rPr>
          <w:sz w:val="18"/>
        </w:rPr>
        <w:t>This project has received funding from the European Union’s Horizon 2020 research and innovation programme under grant agreement no.</w:t>
      </w:r>
      <w:r>
        <w:rPr>
          <w:spacing w:val="1"/>
          <w:sz w:val="18"/>
        </w:rPr>
        <w:t> </w:t>
      </w:r>
      <w:r>
        <w:rPr>
          <w:sz w:val="18"/>
        </w:rPr>
        <w:t>101004491</w:t>
      </w:r>
    </w:p>
    <w:p>
      <w:pPr>
        <w:pStyle w:val="BodyText"/>
        <w:rPr>
          <w:sz w:val="20"/>
        </w:rPr>
      </w:pPr>
    </w:p>
    <w:p>
      <w:pPr>
        <w:pStyle w:val="BodyText"/>
        <w:rPr>
          <w:sz w:val="20"/>
        </w:rPr>
      </w:pPr>
    </w:p>
    <w:p>
      <w:pPr>
        <w:pStyle w:val="BodyText"/>
        <w:spacing w:before="10"/>
        <w:rPr>
          <w:sz w:val="23"/>
        </w:rPr>
      </w:pPr>
    </w:p>
    <w:p>
      <w:pPr>
        <w:spacing w:before="100"/>
        <w:ind w:left="4709" w:right="3601" w:firstLine="0"/>
        <w:jc w:val="center"/>
        <w:rPr>
          <w:b/>
          <w:sz w:val="36"/>
        </w:rPr>
      </w:pPr>
      <w:r>
        <w:rPr>
          <w:b/>
          <w:sz w:val="36"/>
        </w:rPr>
        <w:t>ΔΕΛΤΙΟ ΤΥΠΟΥ</w:t>
      </w:r>
    </w:p>
    <w:p>
      <w:pPr>
        <w:pStyle w:val="BodyText"/>
        <w:spacing w:before="4"/>
        <w:rPr>
          <w:b/>
          <w:sz w:val="36"/>
        </w:rPr>
      </w:pPr>
    </w:p>
    <w:p>
      <w:pPr>
        <w:spacing w:before="0"/>
        <w:ind w:left="1437" w:right="0" w:firstLine="52"/>
        <w:jc w:val="left"/>
        <w:rPr>
          <w:b/>
          <w:sz w:val="24"/>
        </w:rPr>
      </w:pPr>
      <w:r>
        <w:rPr>
          <w:b/>
          <w:sz w:val="24"/>
        </w:rPr>
        <w:t>Έναρξη του έργου «Εκπαιδευτικοί χώροι των κοινών. Διασχίζοντας τις περιφράξεις και αντιστρέφοντας τις ανισότητες – SMOOTH» - «HORIZON 2020»</w:t>
      </w:r>
    </w:p>
    <w:p>
      <w:pPr>
        <w:pStyle w:val="BodyText"/>
        <w:spacing w:before="11"/>
        <w:rPr>
          <w:b/>
          <w:sz w:val="23"/>
        </w:rPr>
      </w:pPr>
    </w:p>
    <w:p>
      <w:pPr>
        <w:pStyle w:val="BodyText"/>
        <w:ind w:left="1437" w:right="104"/>
        <w:jc w:val="both"/>
      </w:pPr>
      <w:r>
        <w:rPr/>
        <w:t>Το</w:t>
      </w:r>
      <w:r>
        <w:rPr>
          <w:spacing w:val="-18"/>
        </w:rPr>
        <w:t> </w:t>
      </w:r>
      <w:r>
        <w:rPr/>
        <w:t>SMOOTH</w:t>
      </w:r>
      <w:r>
        <w:rPr>
          <w:spacing w:val="-12"/>
        </w:rPr>
        <w:t> </w:t>
      </w:r>
      <w:r>
        <w:rPr/>
        <w:t>μελετά</w:t>
      </w:r>
      <w:r>
        <w:rPr>
          <w:spacing w:val="-18"/>
        </w:rPr>
        <w:t> </w:t>
      </w:r>
      <w:r>
        <w:rPr/>
        <w:t>τα</w:t>
      </w:r>
      <w:r>
        <w:rPr>
          <w:spacing w:val="-13"/>
        </w:rPr>
        <w:t> </w:t>
      </w:r>
      <w:r>
        <w:rPr>
          <w:i/>
        </w:rPr>
        <w:t>εκπαιδευτικά</w:t>
      </w:r>
      <w:r>
        <w:rPr>
          <w:i/>
          <w:spacing w:val="-18"/>
        </w:rPr>
        <w:t> </w:t>
      </w:r>
      <w:r>
        <w:rPr>
          <w:i/>
        </w:rPr>
        <w:t>κοινά</w:t>
      </w:r>
      <w:r>
        <w:rPr>
          <w:i/>
          <w:spacing w:val="-18"/>
        </w:rPr>
        <w:t> </w:t>
      </w:r>
      <w:r>
        <w:rPr/>
        <w:t>ως</w:t>
      </w:r>
      <w:r>
        <w:rPr>
          <w:spacing w:val="-14"/>
        </w:rPr>
        <w:t> </w:t>
      </w:r>
      <w:r>
        <w:rPr/>
        <w:t>εναλλακτική</w:t>
      </w:r>
      <w:r>
        <w:rPr>
          <w:spacing w:val="-16"/>
        </w:rPr>
        <w:t> </w:t>
      </w:r>
      <w:r>
        <w:rPr/>
        <w:t>προσέγγιση</w:t>
      </w:r>
      <w:r>
        <w:rPr>
          <w:spacing w:val="-16"/>
        </w:rPr>
        <w:t> </w:t>
      </w:r>
      <w:r>
        <w:rPr/>
        <w:t>για</w:t>
      </w:r>
      <w:r>
        <w:rPr>
          <w:spacing w:val="-13"/>
        </w:rPr>
        <w:t> </w:t>
      </w:r>
      <w:r>
        <w:rPr/>
        <w:t>την</w:t>
      </w:r>
      <w:r>
        <w:rPr>
          <w:spacing w:val="-14"/>
        </w:rPr>
        <w:t> </w:t>
      </w:r>
      <w:r>
        <w:rPr/>
        <w:t>αντιμετώπιση των ανισοτήτων και την κοινωνική ένταξη. Συντονιστής του έργου είναι το Πανεπιστήμιο Θεσσαλίας, το οποίο συνεργάζεται με εταίρους (πανεπιστήμια και οργανισμούς) από</w:t>
      </w:r>
      <w:r>
        <w:rPr>
          <w:spacing w:val="5"/>
        </w:rPr>
        <w:t> </w:t>
      </w:r>
      <w:r>
        <w:rPr/>
        <w:t>οκτώ</w:t>
      </w:r>
    </w:p>
    <w:p>
      <w:pPr>
        <w:pStyle w:val="BodyText"/>
        <w:ind w:left="1437" w:right="103"/>
        <w:jc w:val="both"/>
      </w:pPr>
      <w:r>
        <w:rPr/>
        <w:t>(8)</w:t>
      </w:r>
      <w:r>
        <w:rPr>
          <w:spacing w:val="-8"/>
        </w:rPr>
        <w:t> </w:t>
      </w:r>
      <w:r>
        <w:rPr/>
        <w:t>ευρωπαϊκές</w:t>
      </w:r>
      <w:r>
        <w:rPr>
          <w:spacing w:val="-6"/>
        </w:rPr>
        <w:t> </w:t>
      </w:r>
      <w:r>
        <w:rPr/>
        <w:t>χώρες.</w:t>
      </w:r>
      <w:r>
        <w:rPr>
          <w:spacing w:val="-6"/>
        </w:rPr>
        <w:t> </w:t>
      </w:r>
      <w:r>
        <w:rPr/>
        <w:t>Το</w:t>
      </w:r>
      <w:r>
        <w:rPr>
          <w:spacing w:val="-10"/>
        </w:rPr>
        <w:t> </w:t>
      </w:r>
      <w:r>
        <w:rPr/>
        <w:t>ερευνητικό</w:t>
      </w:r>
      <w:r>
        <w:rPr>
          <w:spacing w:val="-5"/>
        </w:rPr>
        <w:t> </w:t>
      </w:r>
      <w:r>
        <w:rPr/>
        <w:t>έργο</w:t>
      </w:r>
      <w:r>
        <w:rPr>
          <w:spacing w:val="-5"/>
        </w:rPr>
        <w:t> </w:t>
      </w:r>
      <w:r>
        <w:rPr/>
        <w:t>θα</w:t>
      </w:r>
      <w:r>
        <w:rPr>
          <w:spacing w:val="-9"/>
        </w:rPr>
        <w:t> </w:t>
      </w:r>
      <w:r>
        <w:rPr/>
        <w:t>διεξαχθεί</w:t>
      </w:r>
      <w:r>
        <w:rPr>
          <w:spacing w:val="-6"/>
        </w:rPr>
        <w:t> </w:t>
      </w:r>
      <w:r>
        <w:rPr/>
        <w:t>από</w:t>
      </w:r>
      <w:r>
        <w:rPr>
          <w:spacing w:val="-10"/>
        </w:rPr>
        <w:t> </w:t>
      </w:r>
      <w:r>
        <w:rPr/>
        <w:t>το</w:t>
      </w:r>
      <w:r>
        <w:rPr>
          <w:spacing w:val="-5"/>
        </w:rPr>
        <w:t> </w:t>
      </w:r>
      <w:r>
        <w:rPr/>
        <w:t>2021</w:t>
      </w:r>
      <w:r>
        <w:rPr>
          <w:spacing w:val="-10"/>
        </w:rPr>
        <w:t> </w:t>
      </w:r>
      <w:r>
        <w:rPr/>
        <w:t>έως</w:t>
      </w:r>
      <w:r>
        <w:rPr>
          <w:spacing w:val="-5"/>
        </w:rPr>
        <w:t> </w:t>
      </w:r>
      <w:r>
        <w:rPr/>
        <w:t>το</w:t>
      </w:r>
      <w:r>
        <w:rPr>
          <w:spacing w:val="-5"/>
        </w:rPr>
        <w:t> </w:t>
      </w:r>
      <w:r>
        <w:rPr/>
        <w:t>2024</w:t>
      </w:r>
      <w:r>
        <w:rPr>
          <w:spacing w:val="-9"/>
        </w:rPr>
        <w:t> </w:t>
      </w:r>
      <w:r>
        <w:rPr/>
        <w:t>σε</w:t>
      </w:r>
      <w:r>
        <w:rPr>
          <w:spacing w:val="-7"/>
        </w:rPr>
        <w:t> </w:t>
      </w:r>
      <w:r>
        <w:rPr/>
        <w:t>ποικίλα συνεργαζόμενα εκπαιδευτικά ιδρύματα τυπικής και μη τυπικής μάθησης. Οι εταίροι σε συνεργασία με τα ιδρύματα αυτά θα προβούν στη διερεύνηση του εάν και πώς τα εκπαιδευτικά κοινά μπορούν να λειτουργήσουν ως καταλύτης για την αντιμετώπιση των ανισοτήτων.</w:t>
      </w:r>
    </w:p>
    <w:p>
      <w:pPr>
        <w:pStyle w:val="BodyText"/>
        <w:spacing w:before="11"/>
        <w:rPr>
          <w:sz w:val="23"/>
        </w:rPr>
      </w:pPr>
    </w:p>
    <w:p>
      <w:pPr>
        <w:pStyle w:val="BodyText"/>
        <w:ind w:left="1437" w:right="103"/>
        <w:jc w:val="both"/>
      </w:pPr>
      <w:r>
        <w:rPr/>
        <w:t>Το έργο επιδιώκει να δημιουργήσει ήπιους </w:t>
      </w:r>
      <w:r>
        <w:rPr>
          <w:spacing w:val="-3"/>
        </w:rPr>
        <w:t>χώρους </w:t>
      </w:r>
      <w:r>
        <w:rPr/>
        <w:t>δημοκρατικής πολιτειότητας και πειραματισμού με νέους τρόπους σκέψης και δράσης στη βάση </w:t>
      </w:r>
      <w:r>
        <w:rPr>
          <w:spacing w:val="-3"/>
        </w:rPr>
        <w:t>της </w:t>
      </w:r>
      <w:r>
        <w:rPr/>
        <w:t>ισότητας, της συνεργασίας, του διαμοιρασμού, της φροντίδας και της συλλογική οικοδόμηση της γνώσης για</w:t>
      </w:r>
      <w:r>
        <w:rPr>
          <w:spacing w:val="-16"/>
        </w:rPr>
        <w:t> </w:t>
      </w:r>
      <w:r>
        <w:rPr/>
        <w:t>την</w:t>
      </w:r>
      <w:r>
        <w:rPr>
          <w:spacing w:val="-17"/>
        </w:rPr>
        <w:t> </w:t>
      </w:r>
      <w:r>
        <w:rPr/>
        <w:t>ενίσχυση</w:t>
      </w:r>
      <w:r>
        <w:rPr>
          <w:spacing w:val="-14"/>
        </w:rPr>
        <w:t> </w:t>
      </w:r>
      <w:r>
        <w:rPr/>
        <w:t>του</w:t>
      </w:r>
      <w:r>
        <w:rPr>
          <w:spacing w:val="-14"/>
        </w:rPr>
        <w:t> </w:t>
      </w:r>
      <w:r>
        <w:rPr/>
        <w:t>διαπολιτισμικού</w:t>
      </w:r>
      <w:r>
        <w:rPr>
          <w:spacing w:val="-15"/>
        </w:rPr>
        <w:t> </w:t>
      </w:r>
      <w:r>
        <w:rPr/>
        <w:t>και</w:t>
      </w:r>
      <w:r>
        <w:rPr>
          <w:spacing w:val="-13"/>
        </w:rPr>
        <w:t> </w:t>
      </w:r>
      <w:r>
        <w:rPr/>
        <w:t>διαγενεακού</w:t>
      </w:r>
      <w:r>
        <w:rPr>
          <w:spacing w:val="-15"/>
        </w:rPr>
        <w:t> </w:t>
      </w:r>
      <w:r>
        <w:rPr/>
        <w:t>διαλόγου</w:t>
      </w:r>
      <w:r>
        <w:rPr>
          <w:spacing w:val="-15"/>
        </w:rPr>
        <w:t> </w:t>
      </w:r>
      <w:r>
        <w:rPr/>
        <w:t>και</w:t>
      </w:r>
      <w:r>
        <w:rPr>
          <w:spacing w:val="-13"/>
        </w:rPr>
        <w:t> </w:t>
      </w:r>
      <w:r>
        <w:rPr/>
        <w:t>της</w:t>
      </w:r>
      <w:r>
        <w:rPr>
          <w:spacing w:val="-12"/>
        </w:rPr>
        <w:t> </w:t>
      </w:r>
      <w:r>
        <w:rPr/>
        <w:t>κοινωνικής</w:t>
      </w:r>
      <w:r>
        <w:rPr>
          <w:spacing w:val="-12"/>
        </w:rPr>
        <w:t> </w:t>
      </w:r>
      <w:r>
        <w:rPr/>
        <w:t>ένταξης.</w:t>
      </w:r>
    </w:p>
    <w:p>
      <w:pPr>
        <w:pStyle w:val="BodyText"/>
        <w:spacing w:before="11"/>
        <w:rPr>
          <w:sz w:val="23"/>
        </w:rPr>
      </w:pPr>
    </w:p>
    <w:p>
      <w:pPr>
        <w:pStyle w:val="BodyText"/>
        <w:ind w:left="1437" w:right="104"/>
        <w:jc w:val="both"/>
      </w:pPr>
      <w:r>
        <w:rPr/>
        <w:t>Για το σκοπό αυτό, θα υλοποιηθούν περίπου πενήντα (50) μελέτες περιπτώσεων μέσω ποικίλων μεθοδολογιών, συμπεριλαμβανομένης της παιδαγωγικής καταγραφής, της παιδαγωγικής</w:t>
      </w:r>
      <w:r>
        <w:rPr>
          <w:spacing w:val="-13"/>
        </w:rPr>
        <w:t> </w:t>
      </w:r>
      <w:r>
        <w:rPr/>
        <w:t>της</w:t>
      </w:r>
      <w:r>
        <w:rPr>
          <w:spacing w:val="-13"/>
        </w:rPr>
        <w:t> </w:t>
      </w:r>
      <w:r>
        <w:rPr/>
        <w:t>ακρόασης,</w:t>
      </w:r>
      <w:r>
        <w:rPr>
          <w:spacing w:val="-13"/>
        </w:rPr>
        <w:t> </w:t>
      </w:r>
      <w:r>
        <w:rPr/>
        <w:t>της</w:t>
      </w:r>
      <w:r>
        <w:rPr>
          <w:spacing w:val="-18"/>
        </w:rPr>
        <w:t> </w:t>
      </w:r>
      <w:r>
        <w:rPr/>
        <w:t>εθνογραφίας</w:t>
      </w:r>
      <w:r>
        <w:rPr>
          <w:spacing w:val="-13"/>
        </w:rPr>
        <w:t> </w:t>
      </w:r>
      <w:r>
        <w:rPr/>
        <w:t>και</w:t>
      </w:r>
      <w:r>
        <w:rPr>
          <w:spacing w:val="-14"/>
        </w:rPr>
        <w:t> </w:t>
      </w:r>
      <w:r>
        <w:rPr/>
        <w:t>της</w:t>
      </w:r>
      <w:r>
        <w:rPr>
          <w:spacing w:val="-13"/>
        </w:rPr>
        <w:t> </w:t>
      </w:r>
      <w:r>
        <w:rPr/>
        <w:t>ανάλυσης</w:t>
      </w:r>
      <w:r>
        <w:rPr>
          <w:spacing w:val="-13"/>
        </w:rPr>
        <w:t> </w:t>
      </w:r>
      <w:r>
        <w:rPr/>
        <w:t>λόγου.</w:t>
      </w:r>
      <w:r>
        <w:rPr>
          <w:spacing w:val="-12"/>
        </w:rPr>
        <w:t> </w:t>
      </w:r>
      <w:r>
        <w:rPr/>
        <w:t>Επιπλέον,</w:t>
      </w:r>
      <w:r>
        <w:rPr>
          <w:spacing w:val="-13"/>
        </w:rPr>
        <w:t> </w:t>
      </w:r>
      <w:r>
        <w:rPr/>
        <w:t>οι</w:t>
      </w:r>
      <w:r>
        <w:rPr>
          <w:spacing w:val="-14"/>
        </w:rPr>
        <w:t> </w:t>
      </w:r>
      <w:r>
        <w:rPr/>
        <w:t>μελέτες αυτές θα σχεδιαστούν για να διευκολύνουν την ενεργό συμμετοχή των παιδιών που θα συμβάλουν</w:t>
      </w:r>
      <w:r>
        <w:rPr>
          <w:spacing w:val="-12"/>
        </w:rPr>
        <w:t> </w:t>
      </w:r>
      <w:r>
        <w:rPr/>
        <w:t>μέσω</w:t>
      </w:r>
      <w:r>
        <w:rPr>
          <w:spacing w:val="-9"/>
        </w:rPr>
        <w:t> </w:t>
      </w:r>
      <w:r>
        <w:rPr/>
        <w:t>του</w:t>
      </w:r>
      <w:r>
        <w:rPr>
          <w:spacing w:val="-5"/>
        </w:rPr>
        <w:t> </w:t>
      </w:r>
      <w:r>
        <w:rPr/>
        <w:t>συν-σχεδιασμού</w:t>
      </w:r>
      <w:r>
        <w:rPr>
          <w:spacing w:val="-5"/>
        </w:rPr>
        <w:t> </w:t>
      </w:r>
      <w:r>
        <w:rPr/>
        <w:t>των</w:t>
      </w:r>
      <w:r>
        <w:rPr>
          <w:spacing w:val="-7"/>
        </w:rPr>
        <w:t> </w:t>
      </w:r>
      <w:r>
        <w:rPr/>
        <w:t>δραστηριοτήτων,</w:t>
      </w:r>
      <w:r>
        <w:rPr>
          <w:spacing w:val="-3"/>
        </w:rPr>
        <w:t> </w:t>
      </w:r>
      <w:r>
        <w:rPr/>
        <w:t>του</w:t>
      </w:r>
      <w:r>
        <w:rPr>
          <w:spacing w:val="-5"/>
        </w:rPr>
        <w:t> </w:t>
      </w:r>
      <w:r>
        <w:rPr/>
        <w:t>καθορισμού</w:t>
      </w:r>
      <w:r>
        <w:rPr>
          <w:spacing w:val="-5"/>
        </w:rPr>
        <w:t> </w:t>
      </w:r>
      <w:r>
        <w:rPr/>
        <w:t>των</w:t>
      </w:r>
      <w:r>
        <w:rPr>
          <w:spacing w:val="-7"/>
        </w:rPr>
        <w:t> </w:t>
      </w:r>
      <w:r>
        <w:rPr/>
        <w:t>θεμάτων, των δραστηριοτήτων, ακόμη και της διεξαγωγής επιτόπιων εργασιών και</w:t>
      </w:r>
      <w:r>
        <w:rPr>
          <w:spacing w:val="-30"/>
        </w:rPr>
        <w:t> </w:t>
      </w:r>
      <w:r>
        <w:rPr/>
        <w:t>συνεντεύξεων.</w:t>
      </w:r>
    </w:p>
    <w:p>
      <w:pPr>
        <w:pStyle w:val="BodyText"/>
        <w:spacing w:before="4"/>
      </w:pPr>
    </w:p>
    <w:p>
      <w:pPr>
        <w:pStyle w:val="BodyText"/>
        <w:ind w:left="1437" w:right="108"/>
        <w:jc w:val="both"/>
      </w:pPr>
      <w:r>
        <w:rPr/>
        <w:t>Τέλος, το SMOOTH επιχειρεί μια διεπιστημονική και διαθεματική ανάλυση σχετικά με </w:t>
      </w:r>
      <w:r>
        <w:rPr>
          <w:spacing w:val="-2"/>
        </w:rPr>
        <w:t>τον </w:t>
      </w:r>
      <w:r>
        <w:rPr/>
        <w:t>ρόλο των εκπαιδευτικών κοινών με απώτερο στόχο την «τροφοδότηση» των υπεύθυνων χάραξης</w:t>
      </w:r>
      <w:r>
        <w:rPr>
          <w:spacing w:val="-8"/>
        </w:rPr>
        <w:t> </w:t>
      </w:r>
      <w:r>
        <w:rPr/>
        <w:t>πολιτικής</w:t>
      </w:r>
      <w:r>
        <w:rPr>
          <w:spacing w:val="-8"/>
        </w:rPr>
        <w:t> </w:t>
      </w:r>
      <w:r>
        <w:rPr/>
        <w:t>με</w:t>
      </w:r>
      <w:r>
        <w:rPr>
          <w:spacing w:val="-8"/>
        </w:rPr>
        <w:t> </w:t>
      </w:r>
      <w:r>
        <w:rPr/>
        <w:t>νέα,</w:t>
      </w:r>
      <w:r>
        <w:rPr>
          <w:spacing w:val="-2"/>
        </w:rPr>
        <w:t> </w:t>
      </w:r>
      <w:r>
        <w:rPr/>
        <w:t>καινοτόμα</w:t>
      </w:r>
      <w:r>
        <w:rPr>
          <w:spacing w:val="-12"/>
        </w:rPr>
        <w:t> </w:t>
      </w:r>
      <w:r>
        <w:rPr/>
        <w:t>και</w:t>
      </w:r>
      <w:r>
        <w:rPr>
          <w:spacing w:val="-4"/>
        </w:rPr>
        <w:t> </w:t>
      </w:r>
      <w:r>
        <w:rPr/>
        <w:t>αποτελεσματικότερα</w:t>
      </w:r>
      <w:r>
        <w:rPr>
          <w:spacing w:val="-10"/>
        </w:rPr>
        <w:t> </w:t>
      </w:r>
      <w:r>
        <w:rPr/>
        <w:t>εργαλεία</w:t>
      </w:r>
      <w:r>
        <w:rPr>
          <w:spacing w:val="-7"/>
        </w:rPr>
        <w:t> </w:t>
      </w:r>
      <w:r>
        <w:rPr/>
        <w:t>για</w:t>
      </w:r>
      <w:r>
        <w:rPr>
          <w:spacing w:val="-6"/>
        </w:rPr>
        <w:t> </w:t>
      </w:r>
      <w:r>
        <w:rPr/>
        <w:t>μεγαλύτερη</w:t>
      </w:r>
      <w:r>
        <w:rPr>
          <w:spacing w:val="-4"/>
        </w:rPr>
        <w:t> </w:t>
      </w:r>
      <w:r>
        <w:rPr/>
        <w:t>και πιο ενεργητική συμμετοχή παιδιών και ενηλίκων στην ανάπτυξη ενός πιο συμπεριληπτικού, ασφαλούς και ανθεκτικού οικονομικού, πολιτικού και κοινωνικού μοντέλου της</w:t>
      </w:r>
      <w:r>
        <w:rPr>
          <w:spacing w:val="-28"/>
        </w:rPr>
        <w:t> </w:t>
      </w:r>
      <w:r>
        <w:rPr/>
        <w:t>Ευρώπης.</w:t>
      </w:r>
    </w:p>
    <w:p>
      <w:pPr>
        <w:pStyle w:val="BodyText"/>
        <w:spacing w:before="11"/>
        <w:rPr>
          <w:sz w:val="23"/>
        </w:rPr>
      </w:pPr>
    </w:p>
    <w:p>
      <w:pPr>
        <w:pStyle w:val="BodyText"/>
        <w:ind w:left="1437"/>
        <w:jc w:val="both"/>
        <w:rPr>
          <w:rFonts w:ascii="Times New Roman" w:hAnsi="Times New Roman"/>
        </w:rPr>
      </w:pPr>
      <w:r>
        <w:rPr/>
        <w:t>Ιστοσελίδα: </w:t>
      </w:r>
      <w:r>
        <w:rPr>
          <w:rFonts w:ascii="Times New Roman" w:hAnsi="Times New Roman"/>
          <w:color w:val="0000FF"/>
          <w:u w:val="single" w:color="0000FF"/>
        </w:rPr>
        <w:t>https://smooth-ecs.eu/</w:t>
      </w:r>
    </w:p>
    <w:p>
      <w:pPr>
        <w:pStyle w:val="BodyText"/>
        <w:spacing w:before="3"/>
        <w:rPr>
          <w:rFonts w:ascii="Times New Roman"/>
          <w:sz w:val="29"/>
        </w:rPr>
      </w:pPr>
    </w:p>
    <w:p>
      <w:pPr>
        <w:pStyle w:val="BodyText"/>
        <w:spacing w:before="100"/>
        <w:ind w:left="1437"/>
      </w:pPr>
      <w:r>
        <w:rPr/>
        <w:t>Επικοινωνία: </w:t>
      </w:r>
      <w:hyperlink r:id="rId7">
        <w:r>
          <w:rPr/>
          <w:t>pechtelidis@uth.gr</w:t>
        </w:r>
      </w:hyperlink>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6"/>
        </w:rPr>
      </w:pPr>
      <w:r>
        <w:rPr/>
        <w:drawing>
          <wp:anchor distT="0" distB="0" distL="0" distR="0" allowOverlap="1" layoutInCell="1" locked="0" behindDoc="0" simplePos="0" relativeHeight="0">
            <wp:simplePos x="0" y="0"/>
            <wp:positionH relativeFrom="page">
              <wp:posOffset>206555</wp:posOffset>
            </wp:positionH>
            <wp:positionV relativeFrom="paragraph">
              <wp:posOffset>233023</wp:posOffset>
            </wp:positionV>
            <wp:extent cx="4514745" cy="311086"/>
            <wp:effectExtent l="0" t="0" r="0" b="0"/>
            <wp:wrapTopAndBottom/>
            <wp:docPr id="5" name="image3.jpeg"/>
            <wp:cNvGraphicFramePr>
              <a:graphicFrameLocks noChangeAspect="1"/>
            </wp:cNvGraphicFramePr>
            <a:graphic>
              <a:graphicData uri="http://schemas.openxmlformats.org/drawingml/2006/picture">
                <pic:pic>
                  <pic:nvPicPr>
                    <pic:cNvPr id="6" name="image3.jpeg"/>
                    <pic:cNvPicPr/>
                  </pic:nvPicPr>
                  <pic:blipFill>
                    <a:blip r:embed="rId8" cstate="print"/>
                    <a:stretch>
                      <a:fillRect/>
                    </a:stretch>
                  </pic:blipFill>
                  <pic:spPr>
                    <a:xfrm>
                      <a:off x="0" y="0"/>
                      <a:ext cx="4514745" cy="311086"/>
                    </a:xfrm>
                    <a:prstGeom prst="rect">
                      <a:avLst/>
                    </a:prstGeom>
                  </pic:spPr>
                </pic:pic>
              </a:graphicData>
            </a:graphic>
          </wp:anchor>
        </w:drawing>
      </w:r>
    </w:p>
    <w:sectPr>
      <w:type w:val="continuous"/>
      <w:pgSz w:w="11910" w:h="16840"/>
      <w:pgMar w:top="900" w:bottom="280" w:left="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A1"/>
    <w:family w:val="roman"/>
    <w:pitch w:val="variable"/>
  </w:font>
  <w:font w:name="Calibri">
    <w:altName w:val="Calibri"/>
    <w:charset w:val="A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mailto:pechtelidis@uth.gr" TargetMode="External"/><Relationship Id="rId8"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2021-12-21T06:42:54Z</dcterms:created>
  <dcterms:modified xsi:type="dcterms:W3CDTF">2021-12-21T06:42:54Z</dcterms:modified>
</cp:coreProperties>
</file>