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8B" w:rsidRDefault="00302F8B" w:rsidP="00302F8B">
      <w:pPr>
        <w:jc w:val="center"/>
        <w:rPr>
          <w:rFonts w:ascii="Century Gothic" w:hAnsi="Century Gothic"/>
          <w:b/>
          <w:color w:val="0000CC"/>
          <w:sz w:val="32"/>
          <w:szCs w:val="32"/>
          <w:lang w:val="el-GR"/>
        </w:rPr>
      </w:pPr>
      <w:r>
        <w:rPr>
          <w:rFonts w:ascii="Century Gothic" w:hAnsi="Century Gothic"/>
          <w:b/>
          <w:color w:val="0000CC"/>
          <w:sz w:val="32"/>
          <w:szCs w:val="32"/>
          <w:lang w:val="el-GR"/>
        </w:rPr>
        <w:t>ΚΑΘΗΜΕΡΙΝΗ ΕΚΔΟΣΗ</w:t>
      </w:r>
    </w:p>
    <w:p w:rsidR="00302F8B" w:rsidRDefault="00302F8B" w:rsidP="00302F8B">
      <w:pPr>
        <w:jc w:val="center"/>
        <w:rPr>
          <w:rFonts w:ascii="Century Gothic" w:hAnsi="Century Gothic"/>
          <w:b/>
          <w:color w:val="0000CC"/>
          <w:sz w:val="32"/>
          <w:szCs w:val="32"/>
          <w:lang w:val="el-GR"/>
        </w:rPr>
      </w:pPr>
      <w:r>
        <w:rPr>
          <w:rFonts w:ascii="Century Gothic" w:hAnsi="Century Gothic"/>
          <w:b/>
          <w:color w:val="0000CC"/>
          <w:sz w:val="32"/>
          <w:szCs w:val="32"/>
          <w:lang w:val="el-GR"/>
        </w:rPr>
        <w:t>ΠΑΝΕΠΙΣΤΗΜΙΟ ΘΕΣΣΑΛΙΑΣ</w:t>
      </w:r>
    </w:p>
    <w:p w:rsidR="00302F8B" w:rsidRPr="00302F8B" w:rsidRDefault="00302F8B" w:rsidP="00302F8B">
      <w:pPr>
        <w:jc w:val="center"/>
        <w:rPr>
          <w:rFonts w:ascii="Century Gothic" w:hAnsi="Century Gothic"/>
          <w:b/>
          <w:color w:val="0000CC"/>
          <w:sz w:val="32"/>
          <w:szCs w:val="32"/>
          <w:lang w:val="el-GR"/>
        </w:rPr>
      </w:pPr>
      <w:r>
        <w:rPr>
          <w:rFonts w:ascii="Century Gothic" w:hAnsi="Century Gothic"/>
          <w:b/>
          <w:color w:val="0000CC"/>
          <w:sz w:val="32"/>
          <w:szCs w:val="32"/>
          <w:lang w:val="el-GR"/>
        </w:rPr>
        <w:t>ΔΕΛΤΙΟ ΤΥΠΟΥ</w:t>
      </w:r>
    </w:p>
    <w:p w:rsidR="004D7A3C" w:rsidRPr="00302F8B" w:rsidRDefault="00D21AA4" w:rsidP="00302F8B">
      <w:pPr>
        <w:jc w:val="center"/>
        <w:rPr>
          <w:rFonts w:ascii="Century Gothic" w:hAnsi="Century Gothic"/>
          <w:b/>
          <w:color w:val="0000CC"/>
          <w:sz w:val="32"/>
          <w:szCs w:val="32"/>
          <w:lang w:val="el-GR"/>
        </w:rPr>
      </w:pPr>
      <w:r w:rsidRPr="00302F8B">
        <w:rPr>
          <w:rFonts w:ascii="Century Gothic" w:hAnsi="Century Gothic"/>
          <w:b/>
          <w:color w:val="0000CC"/>
          <w:sz w:val="32"/>
          <w:szCs w:val="32"/>
          <w:lang w:val="el-GR"/>
        </w:rPr>
        <w:t xml:space="preserve">Προγραμματισμός για </w:t>
      </w:r>
      <w:r w:rsidRPr="00302F8B">
        <w:rPr>
          <w:rFonts w:ascii="Century Gothic" w:hAnsi="Century Gothic"/>
          <w:b/>
          <w:color w:val="0000CC"/>
          <w:sz w:val="32"/>
          <w:szCs w:val="32"/>
          <w:lang w:val="en-US"/>
        </w:rPr>
        <w:t>K</w:t>
      </w:r>
      <w:proofErr w:type="spellStart"/>
      <w:r w:rsidR="004D7A3C" w:rsidRPr="00302F8B">
        <w:rPr>
          <w:rFonts w:ascii="Century Gothic" w:hAnsi="Century Gothic"/>
          <w:b/>
          <w:color w:val="0000CC"/>
          <w:sz w:val="32"/>
          <w:szCs w:val="32"/>
          <w:lang w:val="el-GR"/>
        </w:rPr>
        <w:t>ορίτσια</w:t>
      </w:r>
      <w:proofErr w:type="spellEnd"/>
      <w:r w:rsidRPr="00302F8B">
        <w:rPr>
          <w:rFonts w:ascii="Century Gothic" w:hAnsi="Century Gothic"/>
          <w:b/>
          <w:color w:val="0000CC"/>
          <w:sz w:val="32"/>
          <w:szCs w:val="32"/>
          <w:lang w:val="el-GR"/>
        </w:rPr>
        <w:t xml:space="preserve"> </w:t>
      </w:r>
      <w:r w:rsidRPr="00302F8B">
        <w:rPr>
          <w:rFonts w:ascii="Century Gothic" w:hAnsi="Century Gothic"/>
          <w:b/>
          <w:color w:val="0000CC"/>
          <w:sz w:val="32"/>
          <w:szCs w:val="32"/>
          <w:lang w:val="en-US"/>
        </w:rPr>
        <w:t>M</w:t>
      </w:r>
      <w:r w:rsidR="004D7A3C" w:rsidRPr="00302F8B">
        <w:rPr>
          <w:rFonts w:ascii="Century Gothic" w:hAnsi="Century Gothic"/>
          <w:b/>
          <w:color w:val="0000CC"/>
          <w:sz w:val="32"/>
          <w:szCs w:val="32"/>
          <w:lang w:val="el-GR"/>
        </w:rPr>
        <w:t xml:space="preserve">έσω </w:t>
      </w:r>
      <w:r w:rsidR="004D7A3C" w:rsidRPr="00302F8B">
        <w:rPr>
          <w:rFonts w:ascii="Century Gothic" w:hAnsi="Century Gothic"/>
          <w:b/>
          <w:color w:val="0000CC"/>
          <w:sz w:val="32"/>
          <w:szCs w:val="32"/>
        </w:rPr>
        <w:t>Erasmus</w:t>
      </w:r>
      <w:r w:rsidR="004D7A3C" w:rsidRPr="00302F8B">
        <w:rPr>
          <w:rFonts w:ascii="Century Gothic" w:hAnsi="Century Gothic"/>
          <w:b/>
          <w:color w:val="0000CC"/>
          <w:sz w:val="32"/>
          <w:szCs w:val="32"/>
          <w:lang w:val="el-GR"/>
        </w:rPr>
        <w:t>+</w:t>
      </w:r>
    </w:p>
    <w:p w:rsidR="005C2B0B" w:rsidRPr="000A3E09" w:rsidRDefault="00CA4FD5" w:rsidP="000A3E09">
      <w:pPr>
        <w:spacing w:line="360" w:lineRule="auto"/>
        <w:jc w:val="both"/>
        <w:rPr>
          <w:rFonts w:ascii="Century Gothic" w:hAnsi="Century Gothic"/>
          <w:color w:val="0000CC"/>
          <w:lang w:val="el-GR"/>
        </w:rPr>
      </w:pPr>
      <w:r w:rsidRPr="000A3E09">
        <w:rPr>
          <w:rFonts w:ascii="Century Gothic" w:hAnsi="Century Gothic"/>
          <w:noProof/>
          <w:color w:val="0000CC"/>
          <w:lang w:val="en-US"/>
        </w:rPr>
        <w:pict>
          <v:shapetype id="_x0000_t202" coordsize="21600,21600" o:spt="202" path="m,l,21600r21600,l21600,xe">
            <v:stroke joinstyle="miter"/>
            <v:path gradientshapeok="t" o:connecttype="rect"/>
          </v:shapetype>
          <v:shape id="_x0000_s1026" type="#_x0000_t202" style="position:absolute;left:0;text-align:left;margin-left:-.75pt;margin-top:5.4pt;width:336.75pt;height:171.75pt;z-index:251658240">
            <v:textbox style="mso-next-textbox:#_x0000_s1026">
              <w:txbxContent>
                <w:p w:rsidR="00CF4695" w:rsidRDefault="00CF4695" w:rsidP="00CF4695">
                  <w:pPr>
                    <w:rPr>
                      <w:lang w:val="el-GR"/>
                    </w:rPr>
                  </w:pPr>
                  <w:r>
                    <w:rPr>
                      <w:noProof/>
                      <w:lang w:val="el-GR" w:eastAsia="el-GR"/>
                    </w:rPr>
                    <w:drawing>
                      <wp:inline distT="0" distB="0" distL="0" distR="0">
                        <wp:extent cx="2009775" cy="956791"/>
                        <wp:effectExtent l="19050" t="0" r="9525" b="0"/>
                        <wp:docPr id="7" name="Picture 3" descr="72241301_134229714620057_74201570072036638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241301_134229714620057_7420157007203663872_o.jpg"/>
                                <pic:cNvPicPr/>
                              </pic:nvPicPr>
                              <pic:blipFill>
                                <a:blip r:embed="rId4">
                                  <a:lum bright="10000"/>
                                </a:blip>
                                <a:stretch>
                                  <a:fillRect/>
                                </a:stretch>
                              </pic:blipFill>
                              <pic:spPr>
                                <a:xfrm>
                                  <a:off x="0" y="0"/>
                                  <a:ext cx="2013835" cy="958724"/>
                                </a:xfrm>
                                <a:prstGeom prst="rect">
                                  <a:avLst/>
                                </a:prstGeom>
                              </pic:spPr>
                            </pic:pic>
                          </a:graphicData>
                        </a:graphic>
                      </wp:inline>
                    </w:drawing>
                  </w:r>
                  <w:r>
                    <w:rPr>
                      <w:noProof/>
                      <w:lang w:val="el-GR" w:eastAsia="el-GR"/>
                    </w:rPr>
                    <w:drawing>
                      <wp:inline distT="0" distB="0" distL="0" distR="0">
                        <wp:extent cx="2000760" cy="952500"/>
                        <wp:effectExtent l="19050" t="0" r="0" b="0"/>
                        <wp:docPr id="8" name="Picture 2" descr="71337084_134229771286718_88782912917298216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337084_134229771286718_8878291291729821696_o.jpg"/>
                                <pic:cNvPicPr/>
                              </pic:nvPicPr>
                              <pic:blipFill>
                                <a:blip r:embed="rId5"/>
                                <a:stretch>
                                  <a:fillRect/>
                                </a:stretch>
                              </pic:blipFill>
                              <pic:spPr>
                                <a:xfrm>
                                  <a:off x="0" y="0"/>
                                  <a:ext cx="2004804" cy="954425"/>
                                </a:xfrm>
                                <a:prstGeom prst="rect">
                                  <a:avLst/>
                                </a:prstGeom>
                              </pic:spPr>
                            </pic:pic>
                          </a:graphicData>
                        </a:graphic>
                      </wp:inline>
                    </w:drawing>
                  </w:r>
                </w:p>
                <w:p w:rsidR="00CF4695" w:rsidRPr="00CF4695" w:rsidRDefault="00CF4695" w:rsidP="00CF4695">
                  <w:pPr>
                    <w:rPr>
                      <w:lang w:val="el-GR"/>
                    </w:rPr>
                  </w:pPr>
                  <w:r>
                    <w:rPr>
                      <w:noProof/>
                      <w:lang w:val="el-GR" w:eastAsia="el-GR"/>
                    </w:rPr>
                    <w:drawing>
                      <wp:inline distT="0" distB="0" distL="0" distR="0">
                        <wp:extent cx="2009775" cy="956792"/>
                        <wp:effectExtent l="19050" t="0" r="9525" b="0"/>
                        <wp:docPr id="9" name="Picture 4" descr="71864606_134229644620064_62363568609920286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64606_134229644620064_6236356860992028672_o.jpg"/>
                                <pic:cNvPicPr/>
                              </pic:nvPicPr>
                              <pic:blipFill>
                                <a:blip r:embed="rId6"/>
                                <a:stretch>
                                  <a:fillRect/>
                                </a:stretch>
                              </pic:blipFill>
                              <pic:spPr>
                                <a:xfrm>
                                  <a:off x="0" y="0"/>
                                  <a:ext cx="2013054" cy="958353"/>
                                </a:xfrm>
                                <a:prstGeom prst="rect">
                                  <a:avLst/>
                                </a:prstGeom>
                              </pic:spPr>
                            </pic:pic>
                          </a:graphicData>
                        </a:graphic>
                      </wp:inline>
                    </w:drawing>
                  </w:r>
                  <w:r>
                    <w:rPr>
                      <w:noProof/>
                      <w:lang w:val="el-GR" w:eastAsia="el-GR"/>
                    </w:rPr>
                    <w:drawing>
                      <wp:inline distT="0" distB="0" distL="0" distR="0">
                        <wp:extent cx="2000250" cy="952257"/>
                        <wp:effectExtent l="19050" t="0" r="0" b="0"/>
                        <wp:docPr id="10" name="Picture 5" descr="71484281_134229851286710_10534220158950440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84281_134229851286710_1053422015895044096_o.jpg"/>
                                <pic:cNvPicPr/>
                              </pic:nvPicPr>
                              <pic:blipFill>
                                <a:blip r:embed="rId7"/>
                                <a:stretch>
                                  <a:fillRect/>
                                </a:stretch>
                              </pic:blipFill>
                              <pic:spPr>
                                <a:xfrm>
                                  <a:off x="0" y="0"/>
                                  <a:ext cx="2004025" cy="954054"/>
                                </a:xfrm>
                                <a:prstGeom prst="rect">
                                  <a:avLst/>
                                </a:prstGeom>
                              </pic:spPr>
                            </pic:pic>
                          </a:graphicData>
                        </a:graphic>
                      </wp:inline>
                    </w:drawing>
                  </w:r>
                </w:p>
                <w:p w:rsidR="00CF4695" w:rsidRDefault="00CF4695"/>
              </w:txbxContent>
            </v:textbox>
            <w10:wrap type="square"/>
          </v:shape>
        </w:pict>
      </w:r>
      <w:r w:rsidR="00C1023A" w:rsidRPr="000A3E09">
        <w:rPr>
          <w:rFonts w:ascii="Century Gothic" w:hAnsi="Century Gothic"/>
          <w:color w:val="0000CC"/>
          <w:lang w:val="el-GR"/>
        </w:rPr>
        <w:t>Σύμφων</w:t>
      </w:r>
      <w:r w:rsidR="00A74076" w:rsidRPr="000A3E09">
        <w:rPr>
          <w:rFonts w:ascii="Century Gothic" w:hAnsi="Century Gothic"/>
          <w:color w:val="0000CC"/>
          <w:lang w:val="el-GR"/>
        </w:rPr>
        <w:t>α με έρευνα της Ευρωπαϊκής Ένωσης</w:t>
      </w:r>
      <w:r w:rsidR="00C1023A" w:rsidRPr="000A3E09">
        <w:rPr>
          <w:rFonts w:ascii="Century Gothic" w:hAnsi="Century Gothic"/>
          <w:color w:val="0000CC"/>
          <w:lang w:val="el-GR"/>
        </w:rPr>
        <w:t xml:space="preserve"> για τις γυναίκες που δραστη</w:t>
      </w:r>
      <w:r w:rsidR="00F37CA9" w:rsidRPr="000A3E09">
        <w:rPr>
          <w:rFonts w:ascii="Century Gothic" w:hAnsi="Century Gothic"/>
          <w:color w:val="0000CC"/>
          <w:lang w:val="el-GR"/>
        </w:rPr>
        <w:t xml:space="preserve">ριοποιούνται στον τομέα της </w:t>
      </w:r>
      <w:r w:rsidR="00A74076" w:rsidRPr="000A3E09">
        <w:rPr>
          <w:rFonts w:ascii="Century Gothic" w:hAnsi="Century Gothic"/>
          <w:color w:val="0000CC"/>
          <w:lang w:val="el-GR"/>
        </w:rPr>
        <w:t>επιστήμης των υπολογιστών</w:t>
      </w:r>
      <w:r w:rsidR="0007370E" w:rsidRPr="000A3E09">
        <w:rPr>
          <w:rFonts w:ascii="Century Gothic" w:hAnsi="Century Gothic"/>
          <w:color w:val="0000CC"/>
          <w:lang w:val="el-GR"/>
        </w:rPr>
        <w:t>,</w:t>
      </w:r>
      <w:r w:rsidR="00C1023A" w:rsidRPr="000A3E09">
        <w:rPr>
          <w:rFonts w:ascii="Century Gothic" w:hAnsi="Century Gothic"/>
          <w:color w:val="0000CC"/>
          <w:lang w:val="el-GR"/>
        </w:rPr>
        <w:t xml:space="preserve"> από τις 1.000 γυναίκες που ολοκληρώνουν την τριτοβάθμια εκπαίδευση μόνο 29 </w:t>
      </w:r>
      <w:r w:rsidR="00315F6B" w:rsidRPr="000A3E09">
        <w:rPr>
          <w:rFonts w:ascii="Century Gothic" w:hAnsi="Century Gothic"/>
          <w:color w:val="0000CC"/>
          <w:lang w:val="el-GR"/>
        </w:rPr>
        <w:t>λαμβάνουν</w:t>
      </w:r>
      <w:r w:rsidR="00C1023A" w:rsidRPr="000A3E09">
        <w:rPr>
          <w:rFonts w:ascii="Century Gothic" w:hAnsi="Century Gothic"/>
          <w:color w:val="0000CC"/>
          <w:lang w:val="el-GR"/>
        </w:rPr>
        <w:t xml:space="preserve"> πτυχίο στην πληροφορική. Αυτή η ανισότητα στη συμμε</w:t>
      </w:r>
      <w:r w:rsidR="007942DC" w:rsidRPr="000A3E09">
        <w:rPr>
          <w:rFonts w:ascii="Century Gothic" w:hAnsi="Century Gothic"/>
          <w:color w:val="0000CC"/>
          <w:lang w:val="el-GR"/>
        </w:rPr>
        <w:t>τοχή των γυναικών στην πληροφορική</w:t>
      </w:r>
      <w:r w:rsidR="00C1023A" w:rsidRPr="000A3E09">
        <w:rPr>
          <w:rFonts w:ascii="Century Gothic" w:hAnsi="Century Gothic"/>
          <w:color w:val="0000CC"/>
          <w:lang w:val="el-GR"/>
        </w:rPr>
        <w:t xml:space="preserve"> συνεχίζεται και στον επαγγελματικό τομέα. Σύμφωνα με την ίδια έκθεση</w:t>
      </w:r>
      <w:r w:rsidR="0007370E" w:rsidRPr="000A3E09">
        <w:rPr>
          <w:rFonts w:ascii="Century Gothic" w:hAnsi="Century Gothic"/>
          <w:color w:val="0000CC"/>
          <w:lang w:val="el-GR"/>
        </w:rPr>
        <w:t>,</w:t>
      </w:r>
      <w:r w:rsidR="00C1023A" w:rsidRPr="000A3E09">
        <w:rPr>
          <w:rFonts w:ascii="Century Gothic" w:hAnsi="Century Gothic"/>
          <w:color w:val="0000CC"/>
          <w:lang w:val="el-GR"/>
        </w:rPr>
        <w:t xml:space="preserve"> μόνο το 30% των περίπου 7 εκ. ατόμων </w:t>
      </w:r>
      <w:r w:rsidR="007942DC" w:rsidRPr="000A3E09">
        <w:rPr>
          <w:rFonts w:ascii="Century Gothic" w:hAnsi="Century Gothic"/>
          <w:color w:val="0000CC"/>
          <w:lang w:val="el-GR"/>
        </w:rPr>
        <w:t>που απασχολούνται σε τομείς</w:t>
      </w:r>
      <w:r w:rsidR="00C1023A" w:rsidRPr="000A3E09">
        <w:rPr>
          <w:rFonts w:ascii="Century Gothic" w:hAnsi="Century Gothic"/>
          <w:color w:val="0000CC"/>
          <w:lang w:val="el-GR"/>
        </w:rPr>
        <w:t xml:space="preserve"> πληροφορικής είναι γυναίκες. Υποεκπροσωπούνται σε όλες τις δραστηριότητες του κλάδου, ιδιαίτερ</w:t>
      </w:r>
      <w:r w:rsidR="00A74076" w:rsidRPr="000A3E09">
        <w:rPr>
          <w:rFonts w:ascii="Century Gothic" w:hAnsi="Century Gothic"/>
          <w:color w:val="0000CC"/>
          <w:lang w:val="el-GR"/>
        </w:rPr>
        <w:t>α</w:t>
      </w:r>
      <w:r w:rsidR="00C1023A" w:rsidRPr="000A3E09">
        <w:rPr>
          <w:rFonts w:ascii="Century Gothic" w:hAnsi="Century Gothic"/>
          <w:color w:val="0000CC"/>
          <w:lang w:val="el-GR"/>
        </w:rPr>
        <w:t xml:space="preserve"> στις διαδικασίες λήψης αποφάσεων. </w:t>
      </w:r>
    </w:p>
    <w:p w:rsidR="00C1023A" w:rsidRPr="000A3E09" w:rsidRDefault="00C1023A" w:rsidP="000A3E09">
      <w:pPr>
        <w:spacing w:line="360" w:lineRule="auto"/>
        <w:jc w:val="both"/>
        <w:rPr>
          <w:rFonts w:ascii="Century Gothic" w:hAnsi="Century Gothic"/>
          <w:color w:val="0000CC"/>
          <w:lang w:val="el-GR"/>
        </w:rPr>
      </w:pPr>
      <w:r w:rsidRPr="000A3E09">
        <w:rPr>
          <w:rFonts w:ascii="Century Gothic" w:hAnsi="Century Gothic"/>
          <w:color w:val="0000CC"/>
          <w:lang w:val="el-GR"/>
        </w:rPr>
        <w:t xml:space="preserve">Οι λόγοι που οδηγούν τις γυναίκες </w:t>
      </w:r>
      <w:r w:rsidR="0007370E" w:rsidRPr="000A3E09">
        <w:rPr>
          <w:rFonts w:ascii="Century Gothic" w:hAnsi="Century Gothic"/>
          <w:color w:val="0000CC"/>
          <w:lang w:val="el-GR"/>
        </w:rPr>
        <w:t xml:space="preserve">στο </w:t>
      </w:r>
      <w:r w:rsidRPr="000A3E09">
        <w:rPr>
          <w:rFonts w:ascii="Century Gothic" w:hAnsi="Century Gothic"/>
          <w:color w:val="0000CC"/>
          <w:lang w:val="el-GR"/>
        </w:rPr>
        <w:t>να αποφεύγουν την επιστήμη των υπολογιστών δεν σχετίζοντα</w:t>
      </w:r>
      <w:r w:rsidR="007942DC" w:rsidRPr="000A3E09">
        <w:rPr>
          <w:rFonts w:ascii="Century Gothic" w:hAnsi="Century Gothic"/>
          <w:color w:val="0000CC"/>
          <w:lang w:val="el-GR"/>
        </w:rPr>
        <w:t xml:space="preserve">ι με </w:t>
      </w:r>
      <w:r w:rsidRPr="000A3E09">
        <w:rPr>
          <w:rFonts w:ascii="Century Gothic" w:hAnsi="Century Gothic"/>
          <w:color w:val="0000CC"/>
          <w:lang w:val="el-GR"/>
        </w:rPr>
        <w:t xml:space="preserve">αδημαϊκές γνώσεις και δεξιότητες. Η έκθεση </w:t>
      </w:r>
      <w:r w:rsidRPr="000A3E09">
        <w:rPr>
          <w:rFonts w:ascii="Century Gothic" w:hAnsi="Century Gothic"/>
          <w:color w:val="0000CC"/>
          <w:lang w:val="en-US"/>
        </w:rPr>
        <w:t>PISA</w:t>
      </w:r>
      <w:r w:rsidRPr="000A3E09">
        <w:rPr>
          <w:rFonts w:ascii="Century Gothic" w:hAnsi="Century Gothic"/>
          <w:color w:val="0000CC"/>
          <w:lang w:val="el-GR"/>
        </w:rPr>
        <w:t xml:space="preserve"> δείχνει ότι στην ηλικία των 15 ετών τα κορίτσια αποδίδουν το ίδιο με τα αγόρια σε συναφή θέματα θετικών επιστημών. Τα κορίτσια επιλέγουν να μην ακολουθήσουν θετικές επιστήμες, ο</w:t>
      </w:r>
      <w:r w:rsidR="007942DC" w:rsidRPr="000A3E09">
        <w:rPr>
          <w:rFonts w:ascii="Century Gothic" w:hAnsi="Century Gothic"/>
          <w:color w:val="0000CC"/>
          <w:lang w:val="el-GR"/>
        </w:rPr>
        <w:t>ι οποίες οδηγούν σε σταδιοδρομίες</w:t>
      </w:r>
      <w:r w:rsidRPr="000A3E09">
        <w:rPr>
          <w:rFonts w:ascii="Century Gothic" w:hAnsi="Century Gothic"/>
          <w:color w:val="0000CC"/>
          <w:lang w:val="el-GR"/>
        </w:rPr>
        <w:t xml:space="preserve"> πληροφορικής</w:t>
      </w:r>
      <w:r w:rsidR="007942DC" w:rsidRPr="000A3E09">
        <w:rPr>
          <w:rFonts w:ascii="Century Gothic" w:hAnsi="Century Gothic"/>
          <w:color w:val="0000CC"/>
          <w:lang w:val="el-GR"/>
        </w:rPr>
        <w:t>,</w:t>
      </w:r>
      <w:r w:rsidRPr="000A3E09">
        <w:rPr>
          <w:rFonts w:ascii="Century Gothic" w:hAnsi="Century Gothic"/>
          <w:color w:val="0000CC"/>
          <w:lang w:val="el-GR"/>
        </w:rPr>
        <w:t xml:space="preserve"> από το γυμνάσιο ή και νωρίτερα κάτω από στερεοτυπικές αντιλήψεις ότι αυτές οι </w:t>
      </w:r>
      <w:r w:rsidR="007942DC" w:rsidRPr="000A3E09">
        <w:rPr>
          <w:rFonts w:ascii="Century Gothic" w:hAnsi="Century Gothic"/>
          <w:color w:val="0000CC"/>
          <w:lang w:val="el-GR"/>
        </w:rPr>
        <w:t>επαγγελματικές επιλογές</w:t>
      </w:r>
      <w:r w:rsidRPr="000A3E09">
        <w:rPr>
          <w:rFonts w:ascii="Century Gothic" w:hAnsi="Century Gothic"/>
          <w:color w:val="0000CC"/>
          <w:lang w:val="el-GR"/>
        </w:rPr>
        <w:t xml:space="preserve"> δεν είναι κατάλληλες για</w:t>
      </w:r>
      <w:r w:rsidR="007942DC" w:rsidRPr="000A3E09">
        <w:rPr>
          <w:rFonts w:ascii="Century Gothic" w:hAnsi="Century Gothic"/>
          <w:color w:val="0000CC"/>
          <w:lang w:val="el-GR"/>
        </w:rPr>
        <w:t xml:space="preserve"> αυτά. Επιπλέον, αντιλήψεις σχετικά με την έλλειψη σύνδεση της πληροφορικής με την κοινωνία αποθαρρύνουν περαιτέρω τη συμμετοχή των κοριτσιών</w:t>
      </w:r>
      <w:r w:rsidRPr="000A3E09">
        <w:rPr>
          <w:rFonts w:ascii="Century Gothic" w:hAnsi="Century Gothic"/>
          <w:color w:val="0000CC"/>
          <w:lang w:val="el-GR"/>
        </w:rPr>
        <w:t xml:space="preserve">, τα οποία </w:t>
      </w:r>
      <w:r w:rsidR="007942DC" w:rsidRPr="000A3E09">
        <w:rPr>
          <w:rFonts w:ascii="Century Gothic" w:hAnsi="Century Gothic"/>
          <w:color w:val="0000CC"/>
          <w:lang w:val="el-GR"/>
        </w:rPr>
        <w:t xml:space="preserve">συχνά επιθυμούν </w:t>
      </w:r>
      <w:r w:rsidRPr="000A3E09">
        <w:rPr>
          <w:rFonts w:ascii="Century Gothic" w:hAnsi="Century Gothic"/>
          <w:color w:val="0000CC"/>
          <w:lang w:val="el-GR"/>
        </w:rPr>
        <w:t xml:space="preserve">η εργασία τους </w:t>
      </w:r>
      <w:r w:rsidR="007942DC" w:rsidRPr="000A3E09">
        <w:rPr>
          <w:rFonts w:ascii="Century Gothic" w:hAnsi="Century Gothic"/>
          <w:color w:val="0000CC"/>
          <w:lang w:val="el-GR"/>
        </w:rPr>
        <w:t xml:space="preserve">να </w:t>
      </w:r>
      <w:r w:rsidRPr="000A3E09">
        <w:rPr>
          <w:rFonts w:ascii="Century Gothic" w:hAnsi="Century Gothic"/>
          <w:color w:val="0000CC"/>
          <w:lang w:val="el-GR"/>
        </w:rPr>
        <w:t xml:space="preserve">είναι κοινωνικά επωφελής.  </w:t>
      </w:r>
    </w:p>
    <w:p w:rsidR="00FE3E9A" w:rsidRPr="000A3E09" w:rsidRDefault="00C1023A" w:rsidP="000A3E09">
      <w:pPr>
        <w:spacing w:line="360" w:lineRule="auto"/>
        <w:jc w:val="both"/>
        <w:rPr>
          <w:rFonts w:ascii="Century Gothic" w:hAnsi="Century Gothic"/>
          <w:color w:val="0000CC"/>
          <w:lang w:val="el-GR"/>
        </w:rPr>
      </w:pPr>
      <w:r w:rsidRPr="000A3E09">
        <w:rPr>
          <w:rFonts w:ascii="Century Gothic" w:hAnsi="Century Gothic"/>
          <w:color w:val="0000CC"/>
          <w:lang w:val="el-GR"/>
        </w:rPr>
        <w:t xml:space="preserve">Το </w:t>
      </w:r>
      <w:r w:rsidR="007942DC" w:rsidRPr="000A3E09">
        <w:rPr>
          <w:rFonts w:ascii="Century Gothic" w:hAnsi="Century Gothic"/>
          <w:color w:val="0000CC"/>
          <w:lang w:val="el-GR"/>
        </w:rPr>
        <w:t xml:space="preserve">Τμήμα Ηλεκτρολόγων Μηχανικών και Μηχανικών </w:t>
      </w:r>
      <w:proofErr w:type="spellStart"/>
      <w:r w:rsidR="007942DC" w:rsidRPr="000A3E09">
        <w:rPr>
          <w:rFonts w:ascii="Century Gothic" w:hAnsi="Century Gothic"/>
          <w:color w:val="0000CC"/>
          <w:lang w:val="el-GR"/>
        </w:rPr>
        <w:t>Υπλογιστών</w:t>
      </w:r>
      <w:proofErr w:type="spellEnd"/>
      <w:r w:rsidR="007942DC" w:rsidRPr="000A3E09">
        <w:rPr>
          <w:rFonts w:ascii="Century Gothic" w:hAnsi="Century Gothic"/>
          <w:color w:val="0000CC"/>
          <w:lang w:val="el-GR"/>
        </w:rPr>
        <w:t xml:space="preserve"> (ΤΗΜΜΥ), και συγκεκριμένα το άτυπο Εργαστήριο Δημιουργικών Τεχνολογιών Μάθησης</w:t>
      </w:r>
      <w:r w:rsidR="001D32EE" w:rsidRPr="000A3E09">
        <w:rPr>
          <w:rFonts w:ascii="Century Gothic" w:hAnsi="Century Gothic"/>
          <w:color w:val="0000CC"/>
          <w:lang w:val="el-GR"/>
        </w:rPr>
        <w:t xml:space="preserve"> (</w:t>
      </w:r>
      <w:hyperlink r:id="rId8" w:history="1">
        <w:r w:rsidR="001D32EE" w:rsidRPr="000A3E09">
          <w:rPr>
            <w:rStyle w:val="-"/>
            <w:rFonts w:ascii="Century Gothic" w:hAnsi="Century Gothic"/>
            <w:color w:val="0000CC"/>
          </w:rPr>
          <w:t>http</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ctll</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e</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ce</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uth</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gr</w:t>
        </w:r>
      </w:hyperlink>
      <w:r w:rsidR="001D32EE" w:rsidRPr="000A3E09">
        <w:rPr>
          <w:rFonts w:ascii="Century Gothic" w:hAnsi="Century Gothic"/>
          <w:color w:val="0000CC"/>
          <w:lang w:val="el-GR"/>
        </w:rPr>
        <w:t xml:space="preserve">) </w:t>
      </w:r>
      <w:r w:rsidR="007942DC" w:rsidRPr="000A3E09">
        <w:rPr>
          <w:rFonts w:ascii="Century Gothic" w:hAnsi="Century Gothic"/>
          <w:color w:val="0000CC"/>
          <w:lang w:val="el-GR"/>
        </w:rPr>
        <w:t xml:space="preserve">, υλοποιεί το ερευνητικό </w:t>
      </w:r>
      <w:r w:rsidRPr="000A3E09">
        <w:rPr>
          <w:rFonts w:ascii="Century Gothic" w:hAnsi="Century Gothic"/>
          <w:color w:val="0000CC"/>
          <w:lang w:val="el-GR"/>
        </w:rPr>
        <w:t xml:space="preserve">έργο </w:t>
      </w:r>
      <w:r w:rsidRPr="000A3E09">
        <w:rPr>
          <w:rFonts w:ascii="Century Gothic" w:hAnsi="Century Gothic"/>
          <w:color w:val="0000CC"/>
          <w:lang w:val="en-US"/>
        </w:rPr>
        <w:t>Coding</w:t>
      </w:r>
      <w:r w:rsidRPr="000A3E09">
        <w:rPr>
          <w:rFonts w:ascii="Century Gothic" w:hAnsi="Century Gothic"/>
          <w:color w:val="0000CC"/>
          <w:lang w:val="el-GR"/>
        </w:rPr>
        <w:t>4</w:t>
      </w:r>
      <w:r w:rsidRPr="000A3E09">
        <w:rPr>
          <w:rFonts w:ascii="Century Gothic" w:hAnsi="Century Gothic"/>
          <w:color w:val="0000CC"/>
          <w:lang w:val="en-US"/>
        </w:rPr>
        <w:t>Girls</w:t>
      </w:r>
      <w:r w:rsidRPr="000A3E09">
        <w:rPr>
          <w:rFonts w:ascii="Century Gothic" w:hAnsi="Century Gothic"/>
          <w:color w:val="0000CC"/>
          <w:lang w:val="el-GR"/>
        </w:rPr>
        <w:t xml:space="preserve"> </w:t>
      </w:r>
      <w:r w:rsidR="001D32EE" w:rsidRPr="000A3E09">
        <w:rPr>
          <w:rFonts w:ascii="Century Gothic" w:hAnsi="Century Gothic"/>
          <w:color w:val="0000CC"/>
          <w:lang w:val="el-GR"/>
        </w:rPr>
        <w:lastRenderedPageBreak/>
        <w:t>(</w:t>
      </w:r>
      <w:hyperlink r:id="rId9" w:history="1">
        <w:r w:rsidR="001D32EE" w:rsidRPr="000A3E09">
          <w:rPr>
            <w:rStyle w:val="-"/>
            <w:rFonts w:ascii="Century Gothic" w:hAnsi="Century Gothic"/>
            <w:color w:val="0000CC"/>
          </w:rPr>
          <w:t>https</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www</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coding</w:t>
        </w:r>
        <w:r w:rsidR="001D32EE" w:rsidRPr="000A3E09">
          <w:rPr>
            <w:rStyle w:val="-"/>
            <w:rFonts w:ascii="Century Gothic" w:hAnsi="Century Gothic"/>
            <w:color w:val="0000CC"/>
            <w:lang w:val="el-GR"/>
          </w:rPr>
          <w:t>4</w:t>
        </w:r>
        <w:r w:rsidR="001D32EE" w:rsidRPr="000A3E09">
          <w:rPr>
            <w:rStyle w:val="-"/>
            <w:rFonts w:ascii="Century Gothic" w:hAnsi="Century Gothic"/>
            <w:color w:val="0000CC"/>
          </w:rPr>
          <w:t>girls</w:t>
        </w:r>
        <w:r w:rsidR="001D32EE" w:rsidRPr="000A3E09">
          <w:rPr>
            <w:rStyle w:val="-"/>
            <w:rFonts w:ascii="Century Gothic" w:hAnsi="Century Gothic"/>
            <w:color w:val="0000CC"/>
            <w:lang w:val="el-GR"/>
          </w:rPr>
          <w:t>.</w:t>
        </w:r>
        <w:r w:rsidR="001D32EE" w:rsidRPr="000A3E09">
          <w:rPr>
            <w:rStyle w:val="-"/>
            <w:rFonts w:ascii="Century Gothic" w:hAnsi="Century Gothic"/>
            <w:color w:val="0000CC"/>
          </w:rPr>
          <w:t>eu</w:t>
        </w:r>
        <w:r w:rsidR="001D32EE" w:rsidRPr="000A3E09">
          <w:rPr>
            <w:rStyle w:val="-"/>
            <w:rFonts w:ascii="Century Gothic" w:hAnsi="Century Gothic"/>
            <w:color w:val="0000CC"/>
            <w:lang w:val="el-GR"/>
          </w:rPr>
          <w:t>/</w:t>
        </w:r>
      </w:hyperlink>
      <w:r w:rsidR="001D32EE" w:rsidRPr="000A3E09">
        <w:rPr>
          <w:rFonts w:ascii="Century Gothic" w:hAnsi="Century Gothic"/>
          <w:color w:val="0000CC"/>
          <w:lang w:val="el-GR"/>
        </w:rPr>
        <w:t xml:space="preserve">) </w:t>
      </w:r>
      <w:r w:rsidR="007942DC" w:rsidRPr="000A3E09">
        <w:rPr>
          <w:rFonts w:ascii="Century Gothic" w:hAnsi="Century Gothic"/>
          <w:color w:val="0000CC"/>
          <w:lang w:val="el-GR"/>
        </w:rPr>
        <w:t xml:space="preserve">το οποίο </w:t>
      </w:r>
      <w:r w:rsidRPr="000A3E09">
        <w:rPr>
          <w:rFonts w:ascii="Century Gothic" w:hAnsi="Century Gothic"/>
          <w:color w:val="0000CC"/>
          <w:lang w:val="el-GR"/>
        </w:rPr>
        <w:t xml:space="preserve">εισάγει μια μαθησιακή παρέμβαση </w:t>
      </w:r>
      <w:r w:rsidR="007942DC" w:rsidRPr="000A3E09">
        <w:rPr>
          <w:rFonts w:ascii="Century Gothic" w:hAnsi="Century Gothic"/>
          <w:color w:val="0000CC"/>
          <w:lang w:val="el-GR"/>
        </w:rPr>
        <w:t xml:space="preserve">με στόχο την ενεργή συμμετοχή κοριτσιών ηλικίας 10 - 15 ετών στον </w:t>
      </w:r>
      <w:r w:rsidRPr="000A3E09">
        <w:rPr>
          <w:rFonts w:ascii="Century Gothic" w:hAnsi="Century Gothic"/>
          <w:color w:val="0000CC"/>
          <w:lang w:val="el-GR"/>
        </w:rPr>
        <w:t>προγραμματισμό με στόχο την ενθάρρυνση της ευρύτερης σ</w:t>
      </w:r>
      <w:r w:rsidR="0007370E" w:rsidRPr="000A3E09">
        <w:rPr>
          <w:rFonts w:ascii="Century Gothic" w:hAnsi="Century Gothic"/>
          <w:color w:val="0000CC"/>
          <w:lang w:val="el-GR"/>
        </w:rPr>
        <w:t>υμμετοχής τους</w:t>
      </w:r>
      <w:r w:rsidR="007942DC" w:rsidRPr="000A3E09">
        <w:rPr>
          <w:rFonts w:ascii="Century Gothic" w:hAnsi="Century Gothic"/>
          <w:color w:val="0000CC"/>
          <w:lang w:val="el-GR"/>
        </w:rPr>
        <w:t xml:space="preserve"> στην επιστήμη των υπολογιστών. Το ΤΗΜΜΥ έχει αναπτύξει </w:t>
      </w:r>
      <w:r w:rsidRPr="000A3E09">
        <w:rPr>
          <w:rFonts w:ascii="Century Gothic" w:hAnsi="Century Gothic"/>
          <w:color w:val="0000CC"/>
          <w:lang w:val="el-GR"/>
        </w:rPr>
        <w:t xml:space="preserve">ένα </w:t>
      </w:r>
      <w:r w:rsidR="00A93FE1" w:rsidRPr="000A3E09">
        <w:rPr>
          <w:rFonts w:ascii="Century Gothic" w:hAnsi="Century Gothic"/>
          <w:color w:val="0000CC"/>
          <w:lang w:val="el-GR"/>
        </w:rPr>
        <w:t xml:space="preserve">ψηφιακό </w:t>
      </w:r>
      <w:r w:rsidRPr="000A3E09">
        <w:rPr>
          <w:rFonts w:ascii="Century Gothic" w:hAnsi="Century Gothic"/>
          <w:color w:val="0000CC"/>
          <w:lang w:val="el-GR"/>
        </w:rPr>
        <w:t>μαθησιακό περιβάλ</w:t>
      </w:r>
      <w:r w:rsidR="007942DC" w:rsidRPr="000A3E09">
        <w:rPr>
          <w:rFonts w:ascii="Century Gothic" w:hAnsi="Century Gothic"/>
          <w:color w:val="0000CC"/>
          <w:lang w:val="el-GR"/>
        </w:rPr>
        <w:t xml:space="preserve">λον που βασίζεται σε  </w:t>
      </w:r>
      <w:r w:rsidR="00A93FE1" w:rsidRPr="000A3E09">
        <w:rPr>
          <w:rFonts w:ascii="Century Gothic" w:hAnsi="Century Gothic"/>
          <w:color w:val="0000CC"/>
          <w:lang w:val="el-GR"/>
        </w:rPr>
        <w:t>εκπαιδευτικά</w:t>
      </w:r>
      <w:r w:rsidR="007942DC" w:rsidRPr="000A3E09">
        <w:rPr>
          <w:rFonts w:ascii="Century Gothic" w:hAnsi="Century Gothic"/>
          <w:color w:val="0000CC"/>
          <w:lang w:val="el-GR"/>
        </w:rPr>
        <w:t xml:space="preserve"> παιχνίδια και σχεδιαστική σκέψη για την προώθηση της ικανότητας επίλυσης προβλ</w:t>
      </w:r>
      <w:r w:rsidR="00BF3CF6" w:rsidRPr="000A3E09">
        <w:rPr>
          <w:rFonts w:ascii="Century Gothic" w:hAnsi="Century Gothic"/>
          <w:color w:val="0000CC"/>
          <w:lang w:val="el-GR"/>
        </w:rPr>
        <w:t>ημάτων και της καινοτόμας σκέψης</w:t>
      </w:r>
      <w:r w:rsidRPr="000A3E09">
        <w:rPr>
          <w:rFonts w:ascii="Century Gothic" w:hAnsi="Century Gothic"/>
          <w:color w:val="0000CC"/>
          <w:lang w:val="el-GR"/>
        </w:rPr>
        <w:t xml:space="preserve">. </w:t>
      </w:r>
      <w:r w:rsidR="00BF3CF6" w:rsidRPr="000A3E09">
        <w:rPr>
          <w:rFonts w:ascii="Century Gothic" w:hAnsi="Century Gothic"/>
          <w:color w:val="0000CC"/>
          <w:lang w:val="el-GR"/>
        </w:rPr>
        <w:t xml:space="preserve">Εξερευνώντας </w:t>
      </w:r>
      <w:r w:rsidR="00A93FE1" w:rsidRPr="000A3E09">
        <w:rPr>
          <w:rFonts w:ascii="Century Gothic" w:hAnsi="Century Gothic"/>
          <w:color w:val="0000CC"/>
          <w:lang w:val="el-GR"/>
        </w:rPr>
        <w:t>το</w:t>
      </w:r>
      <w:r w:rsidRPr="000A3E09">
        <w:rPr>
          <w:rFonts w:ascii="Century Gothic" w:hAnsi="Century Gothic"/>
          <w:color w:val="0000CC"/>
          <w:lang w:val="el-GR"/>
        </w:rPr>
        <w:t xml:space="preserve"> </w:t>
      </w:r>
      <w:r w:rsidR="00BF3CF6" w:rsidRPr="000A3E09">
        <w:rPr>
          <w:rFonts w:ascii="Century Gothic" w:hAnsi="Century Gothic"/>
          <w:color w:val="0000CC"/>
          <w:lang w:val="el-GR"/>
        </w:rPr>
        <w:t>ψηφιακό</w:t>
      </w:r>
      <w:r w:rsidRPr="000A3E09">
        <w:rPr>
          <w:rFonts w:ascii="Century Gothic" w:hAnsi="Century Gothic"/>
          <w:color w:val="0000CC"/>
          <w:lang w:val="el-GR"/>
        </w:rPr>
        <w:t xml:space="preserve"> περιβάλλον οι χρήστ</w:t>
      </w:r>
      <w:r w:rsidR="007942DC" w:rsidRPr="000A3E09">
        <w:rPr>
          <w:rFonts w:ascii="Century Gothic" w:hAnsi="Century Gothic"/>
          <w:color w:val="0000CC"/>
          <w:lang w:val="el-GR"/>
        </w:rPr>
        <w:t>ες</w:t>
      </w:r>
      <w:r w:rsidR="005E12FC" w:rsidRPr="000A3E09">
        <w:rPr>
          <w:rFonts w:ascii="Century Gothic" w:hAnsi="Century Gothic"/>
          <w:color w:val="0000CC"/>
          <w:lang w:val="el-GR"/>
        </w:rPr>
        <w:t>, αγόρια και κορίτσια,</w:t>
      </w:r>
      <w:r w:rsidR="007942DC" w:rsidRPr="000A3E09">
        <w:rPr>
          <w:rFonts w:ascii="Century Gothic" w:hAnsi="Century Gothic"/>
          <w:color w:val="0000CC"/>
          <w:lang w:val="el-GR"/>
        </w:rPr>
        <w:t xml:space="preserve"> ανακαλύπτουν και λύνουν παζλ  με τη μορφή σύντομων σε διάρκεια παιχνιδιών</w:t>
      </w:r>
      <w:r w:rsidRPr="000A3E09">
        <w:rPr>
          <w:rFonts w:ascii="Century Gothic" w:hAnsi="Century Gothic"/>
          <w:color w:val="0000CC"/>
          <w:lang w:val="el-GR"/>
        </w:rPr>
        <w:t xml:space="preserve"> που </w:t>
      </w:r>
      <w:r w:rsidR="00FE3E9A" w:rsidRPr="000A3E09">
        <w:rPr>
          <w:rFonts w:ascii="Century Gothic" w:hAnsi="Century Gothic"/>
          <w:color w:val="0000CC"/>
          <w:lang w:val="el-GR"/>
        </w:rPr>
        <w:t>τους εξοικιώνουν με</w:t>
      </w:r>
      <w:r w:rsidRPr="000A3E09">
        <w:rPr>
          <w:rFonts w:ascii="Century Gothic" w:hAnsi="Century Gothic"/>
          <w:color w:val="0000CC"/>
          <w:lang w:val="el-GR"/>
        </w:rPr>
        <w:t xml:space="preserve"> </w:t>
      </w:r>
      <w:r w:rsidR="00FE3E9A" w:rsidRPr="000A3E09">
        <w:rPr>
          <w:rFonts w:ascii="Century Gothic" w:hAnsi="Century Gothic"/>
          <w:color w:val="0000CC"/>
          <w:lang w:val="el-GR"/>
        </w:rPr>
        <w:t>έννοιες</w:t>
      </w:r>
      <w:r w:rsidRPr="000A3E09">
        <w:rPr>
          <w:rFonts w:ascii="Century Gothic" w:hAnsi="Century Gothic"/>
          <w:color w:val="0000CC"/>
          <w:lang w:val="el-GR"/>
        </w:rPr>
        <w:t xml:space="preserve"> </w:t>
      </w:r>
      <w:r w:rsidR="00FE3E9A" w:rsidRPr="000A3E09">
        <w:rPr>
          <w:rFonts w:ascii="Century Gothic" w:hAnsi="Century Gothic"/>
          <w:color w:val="0000CC"/>
          <w:lang w:val="el-GR"/>
        </w:rPr>
        <w:t xml:space="preserve">προγραμματισμού όπως  </w:t>
      </w:r>
      <w:r w:rsidR="00BF3CF6" w:rsidRPr="000A3E09">
        <w:rPr>
          <w:rFonts w:ascii="Century Gothic" w:hAnsi="Century Gothic"/>
          <w:color w:val="0000CC"/>
          <w:lang w:val="el-GR"/>
        </w:rPr>
        <w:t xml:space="preserve">είναι οι </w:t>
      </w:r>
      <w:r w:rsidR="00FE3E9A" w:rsidRPr="000A3E09">
        <w:rPr>
          <w:rFonts w:ascii="Century Gothic" w:hAnsi="Century Gothic"/>
          <w:color w:val="0000CC"/>
          <w:lang w:val="el-GR"/>
        </w:rPr>
        <w:t xml:space="preserve">μεταβλητές, </w:t>
      </w:r>
      <w:r w:rsidR="00BF3CF6" w:rsidRPr="000A3E09">
        <w:rPr>
          <w:rFonts w:ascii="Century Gothic" w:hAnsi="Century Gothic"/>
          <w:color w:val="0000CC"/>
          <w:lang w:val="el-GR"/>
        </w:rPr>
        <w:t>οι βρόχοι</w:t>
      </w:r>
      <w:r w:rsidR="00FE3E9A" w:rsidRPr="000A3E09">
        <w:rPr>
          <w:rFonts w:ascii="Century Gothic" w:hAnsi="Century Gothic"/>
          <w:color w:val="0000CC"/>
          <w:lang w:val="el-GR"/>
        </w:rPr>
        <w:t xml:space="preserve">, </w:t>
      </w:r>
      <w:r w:rsidR="00BF3CF6" w:rsidRPr="000A3E09">
        <w:rPr>
          <w:rFonts w:ascii="Century Gothic" w:hAnsi="Century Gothic"/>
          <w:color w:val="0000CC"/>
          <w:lang w:val="el-GR"/>
        </w:rPr>
        <w:t xml:space="preserve">οι </w:t>
      </w:r>
      <w:r w:rsidR="00FE3E9A" w:rsidRPr="000A3E09">
        <w:rPr>
          <w:rFonts w:ascii="Century Gothic" w:hAnsi="Century Gothic"/>
          <w:color w:val="0000CC"/>
          <w:lang w:val="el-GR"/>
        </w:rPr>
        <w:t xml:space="preserve">συνθήκες, </w:t>
      </w:r>
      <w:r w:rsidR="00BF3CF6" w:rsidRPr="000A3E09">
        <w:rPr>
          <w:rFonts w:ascii="Century Gothic" w:hAnsi="Century Gothic"/>
          <w:color w:val="0000CC"/>
          <w:lang w:val="el-GR"/>
        </w:rPr>
        <w:t xml:space="preserve">οι </w:t>
      </w:r>
      <w:r w:rsidR="00FE3E9A" w:rsidRPr="000A3E09">
        <w:rPr>
          <w:rFonts w:ascii="Century Gothic" w:hAnsi="Century Gothic"/>
          <w:color w:val="0000CC"/>
          <w:lang w:val="el-GR"/>
        </w:rPr>
        <w:t xml:space="preserve">τελεστές, </w:t>
      </w:r>
      <w:r w:rsidR="00BF3CF6" w:rsidRPr="000A3E09">
        <w:rPr>
          <w:rFonts w:ascii="Century Gothic" w:hAnsi="Century Gothic"/>
          <w:color w:val="0000CC"/>
          <w:lang w:val="el-GR"/>
        </w:rPr>
        <w:t xml:space="preserve">οι </w:t>
      </w:r>
      <w:r w:rsidR="00FE3E9A" w:rsidRPr="000A3E09">
        <w:rPr>
          <w:rFonts w:ascii="Century Gothic" w:hAnsi="Century Gothic"/>
          <w:color w:val="0000CC"/>
          <w:lang w:val="el-GR"/>
        </w:rPr>
        <w:t>εντολές</w:t>
      </w:r>
      <w:r w:rsidRPr="000A3E09">
        <w:rPr>
          <w:rFonts w:ascii="Century Gothic" w:hAnsi="Century Gothic"/>
          <w:color w:val="0000CC"/>
          <w:lang w:val="el-GR"/>
        </w:rPr>
        <w:t xml:space="preserve">, </w:t>
      </w:r>
      <w:r w:rsidR="00BF3CF6" w:rsidRPr="000A3E09">
        <w:rPr>
          <w:rFonts w:ascii="Century Gothic" w:hAnsi="Century Gothic"/>
          <w:color w:val="0000CC"/>
          <w:lang w:val="el-GR"/>
        </w:rPr>
        <w:t xml:space="preserve">ο </w:t>
      </w:r>
      <w:r w:rsidRPr="000A3E09">
        <w:rPr>
          <w:rFonts w:ascii="Century Gothic" w:hAnsi="Century Gothic"/>
          <w:color w:val="0000CC"/>
          <w:lang w:val="el-GR"/>
        </w:rPr>
        <w:t>ήχο</w:t>
      </w:r>
      <w:r w:rsidR="00BF3CF6" w:rsidRPr="000A3E09">
        <w:rPr>
          <w:rFonts w:ascii="Century Gothic" w:hAnsi="Century Gothic"/>
          <w:color w:val="0000CC"/>
          <w:lang w:val="el-GR"/>
        </w:rPr>
        <w:t>ς</w:t>
      </w:r>
      <w:r w:rsidRPr="000A3E09">
        <w:rPr>
          <w:rFonts w:ascii="Century Gothic" w:hAnsi="Century Gothic"/>
          <w:color w:val="0000CC"/>
          <w:lang w:val="el-GR"/>
        </w:rPr>
        <w:t xml:space="preserve">, </w:t>
      </w:r>
      <w:r w:rsidR="00BF3CF6" w:rsidRPr="000A3E09">
        <w:rPr>
          <w:rFonts w:ascii="Century Gothic" w:hAnsi="Century Gothic"/>
          <w:color w:val="0000CC"/>
          <w:lang w:val="el-GR"/>
        </w:rPr>
        <w:t xml:space="preserve">η </w:t>
      </w:r>
      <w:r w:rsidRPr="000A3E09">
        <w:rPr>
          <w:rFonts w:ascii="Century Gothic" w:hAnsi="Century Gothic"/>
          <w:color w:val="0000CC"/>
          <w:lang w:val="el-GR"/>
        </w:rPr>
        <w:t xml:space="preserve">κίνηση, </w:t>
      </w:r>
      <w:r w:rsidR="00BF3CF6" w:rsidRPr="000A3E09">
        <w:rPr>
          <w:rFonts w:ascii="Century Gothic" w:hAnsi="Century Gothic"/>
          <w:color w:val="0000CC"/>
          <w:lang w:val="el-GR"/>
        </w:rPr>
        <w:t xml:space="preserve">ο </w:t>
      </w:r>
      <w:r w:rsidRPr="000A3E09">
        <w:rPr>
          <w:rFonts w:ascii="Century Gothic" w:hAnsi="Century Gothic"/>
          <w:color w:val="0000CC"/>
          <w:lang w:val="el-GR"/>
        </w:rPr>
        <w:t>παραλληλισμό</w:t>
      </w:r>
      <w:r w:rsidR="00BF3CF6" w:rsidRPr="000A3E09">
        <w:rPr>
          <w:rFonts w:ascii="Century Gothic" w:hAnsi="Century Gothic"/>
          <w:color w:val="0000CC"/>
          <w:lang w:val="el-GR"/>
        </w:rPr>
        <w:t>ς</w:t>
      </w:r>
      <w:r w:rsidRPr="000A3E09">
        <w:rPr>
          <w:rFonts w:ascii="Century Gothic" w:hAnsi="Century Gothic"/>
          <w:color w:val="0000CC"/>
          <w:lang w:val="el-GR"/>
        </w:rPr>
        <w:t xml:space="preserve">, και </w:t>
      </w:r>
      <w:r w:rsidR="00BF3CF6" w:rsidRPr="000A3E09">
        <w:rPr>
          <w:rFonts w:ascii="Century Gothic" w:hAnsi="Century Gothic"/>
          <w:color w:val="0000CC"/>
          <w:lang w:val="el-GR"/>
        </w:rPr>
        <w:t xml:space="preserve">τα </w:t>
      </w:r>
      <w:r w:rsidRPr="000A3E09">
        <w:rPr>
          <w:rFonts w:ascii="Century Gothic" w:hAnsi="Century Gothic"/>
          <w:color w:val="0000CC"/>
          <w:lang w:val="el-GR"/>
        </w:rPr>
        <w:t xml:space="preserve">συμβάντα. </w:t>
      </w:r>
      <w:r w:rsidR="00BF3CF6" w:rsidRPr="000A3E09">
        <w:rPr>
          <w:rFonts w:ascii="Century Gothic" w:hAnsi="Century Gothic"/>
          <w:color w:val="0000CC"/>
          <w:lang w:val="el-GR"/>
        </w:rPr>
        <w:t>Αφού κατανοήσουν</w:t>
      </w:r>
      <w:r w:rsidR="00FE3E9A" w:rsidRPr="000A3E09">
        <w:rPr>
          <w:rFonts w:ascii="Century Gothic" w:hAnsi="Century Gothic"/>
          <w:color w:val="0000CC"/>
          <w:lang w:val="el-GR"/>
        </w:rPr>
        <w:t xml:space="preserve"> βασικές αρχές</w:t>
      </w:r>
      <w:r w:rsidR="0036625C" w:rsidRPr="000A3E09">
        <w:rPr>
          <w:rFonts w:ascii="Century Gothic" w:hAnsi="Century Gothic"/>
          <w:color w:val="0000CC"/>
          <w:lang w:val="el-GR"/>
        </w:rPr>
        <w:t>,</w:t>
      </w:r>
      <w:r w:rsidRPr="000A3E09">
        <w:rPr>
          <w:rFonts w:ascii="Century Gothic" w:hAnsi="Century Gothic"/>
          <w:color w:val="0000CC"/>
          <w:lang w:val="el-GR"/>
        </w:rPr>
        <w:t xml:space="preserve"> οι χρήστες καλούνται να τις </w:t>
      </w:r>
      <w:r w:rsidR="00FE3E9A" w:rsidRPr="000A3E09">
        <w:rPr>
          <w:rFonts w:ascii="Century Gothic" w:hAnsi="Century Gothic"/>
          <w:color w:val="0000CC"/>
          <w:lang w:val="el-GR"/>
        </w:rPr>
        <w:t>εφαρμόσουν</w:t>
      </w:r>
      <w:r w:rsidRPr="000A3E09">
        <w:rPr>
          <w:rFonts w:ascii="Century Gothic" w:hAnsi="Century Gothic"/>
          <w:color w:val="0000CC"/>
          <w:lang w:val="el-GR"/>
        </w:rPr>
        <w:t xml:space="preserve"> σε ασκήσεις </w:t>
      </w:r>
      <w:r w:rsidR="00BF3CF6" w:rsidRPr="000A3E09">
        <w:rPr>
          <w:rFonts w:ascii="Century Gothic" w:hAnsi="Century Gothic"/>
          <w:color w:val="0000CC"/>
          <w:lang w:val="el-GR"/>
        </w:rPr>
        <w:t>προγραμματισμού</w:t>
      </w:r>
      <w:r w:rsidR="00FE3E9A" w:rsidRPr="000A3E09">
        <w:rPr>
          <w:rFonts w:ascii="Century Gothic" w:hAnsi="Century Gothic"/>
          <w:color w:val="0000CC"/>
          <w:lang w:val="el-GR"/>
        </w:rPr>
        <w:t xml:space="preserve"> μέσω του λογισμικού</w:t>
      </w:r>
      <w:r w:rsidRPr="000A3E09">
        <w:rPr>
          <w:rFonts w:ascii="Century Gothic" w:hAnsi="Century Gothic"/>
          <w:color w:val="0000CC"/>
          <w:lang w:val="el-GR"/>
        </w:rPr>
        <w:t xml:space="preserve"> </w:t>
      </w:r>
      <w:r w:rsidR="00FE3E9A" w:rsidRPr="000A3E09">
        <w:rPr>
          <w:rFonts w:ascii="Century Gothic" w:hAnsi="Century Gothic"/>
          <w:color w:val="0000CC"/>
        </w:rPr>
        <w:t>S</w:t>
      </w:r>
      <w:r w:rsidRPr="000A3E09">
        <w:rPr>
          <w:rFonts w:ascii="Century Gothic" w:hAnsi="Century Gothic"/>
          <w:color w:val="0000CC"/>
          <w:lang w:val="en-US"/>
        </w:rPr>
        <w:t>nap</w:t>
      </w:r>
      <w:r w:rsidRPr="000A3E09">
        <w:rPr>
          <w:rFonts w:ascii="Century Gothic" w:hAnsi="Century Gothic"/>
          <w:color w:val="0000CC"/>
          <w:lang w:val="el-GR"/>
        </w:rPr>
        <w:t>!</w:t>
      </w:r>
      <w:r w:rsidR="00FE3E9A" w:rsidRPr="000A3E09">
        <w:rPr>
          <w:rFonts w:ascii="Century Gothic" w:hAnsi="Century Gothic"/>
          <w:color w:val="0000CC"/>
          <w:lang w:val="el-GR"/>
        </w:rPr>
        <w:t xml:space="preserve"> </w:t>
      </w:r>
      <w:r w:rsidR="00BF3CF6" w:rsidRPr="000A3E09">
        <w:rPr>
          <w:rFonts w:ascii="Century Gothic" w:hAnsi="Century Gothic"/>
          <w:color w:val="0000CC"/>
          <w:lang w:val="el-GR"/>
        </w:rPr>
        <w:t>π</w:t>
      </w:r>
      <w:r w:rsidR="00FE3E9A" w:rsidRPr="000A3E09">
        <w:rPr>
          <w:rFonts w:ascii="Century Gothic" w:hAnsi="Century Gothic"/>
          <w:color w:val="0000CC"/>
          <w:lang w:val="el-GR"/>
        </w:rPr>
        <w:t>ου έχει ενσωματωθεί στην πλατφόρμα</w:t>
      </w:r>
      <w:r w:rsidRPr="000A3E09">
        <w:rPr>
          <w:rFonts w:ascii="Century Gothic" w:hAnsi="Century Gothic"/>
          <w:color w:val="0000CC"/>
          <w:lang w:val="el-GR"/>
        </w:rPr>
        <w:t xml:space="preserve">. Η πλατφόρμα ενθαρρύνει </w:t>
      </w:r>
      <w:r w:rsidR="00BF3CF6" w:rsidRPr="000A3E09">
        <w:rPr>
          <w:rFonts w:ascii="Century Gothic" w:hAnsi="Century Gothic"/>
          <w:color w:val="0000CC"/>
          <w:lang w:val="el-GR"/>
        </w:rPr>
        <w:t xml:space="preserve">τη </w:t>
      </w:r>
      <w:r w:rsidR="0036625C" w:rsidRPr="000A3E09">
        <w:rPr>
          <w:rFonts w:ascii="Century Gothic" w:hAnsi="Century Gothic"/>
          <w:color w:val="0000CC"/>
          <w:lang w:val="el-GR"/>
        </w:rPr>
        <w:t xml:space="preserve">συνεργασία </w:t>
      </w:r>
      <w:r w:rsidR="00FE3E9A" w:rsidRPr="000A3E09">
        <w:rPr>
          <w:rFonts w:ascii="Century Gothic" w:hAnsi="Century Gothic"/>
          <w:color w:val="0000CC"/>
          <w:lang w:val="el-GR"/>
        </w:rPr>
        <w:t>εφαρμόζοντας αρχές σχεδιαστικής σκέψης π</w:t>
      </w:r>
      <w:r w:rsidR="00BF3CF6" w:rsidRPr="000A3E09">
        <w:rPr>
          <w:rFonts w:ascii="Century Gothic" w:hAnsi="Century Gothic"/>
          <w:color w:val="0000CC"/>
          <w:lang w:val="el-GR"/>
        </w:rPr>
        <w:t xml:space="preserve">ου καλλιεργούν την καινοτόμα και επιχειρηματική σκέψη </w:t>
      </w:r>
      <w:r w:rsidR="00FE3E9A" w:rsidRPr="000A3E09">
        <w:rPr>
          <w:rFonts w:ascii="Century Gothic" w:hAnsi="Century Gothic"/>
          <w:color w:val="0000CC"/>
          <w:lang w:val="el-GR"/>
        </w:rPr>
        <w:t>μέσω μιας διαδικασίας ενσυναίσθησης, ιδεασμού, σχεδιασμού πρωτοτύπων, και</w:t>
      </w:r>
      <w:r w:rsidRPr="000A3E09">
        <w:rPr>
          <w:rFonts w:ascii="Century Gothic" w:hAnsi="Century Gothic"/>
          <w:color w:val="0000CC"/>
          <w:lang w:val="el-GR"/>
        </w:rPr>
        <w:t xml:space="preserve"> αξιολόγησης </w:t>
      </w:r>
      <w:r w:rsidR="00FE3E9A" w:rsidRPr="000A3E09">
        <w:rPr>
          <w:rFonts w:ascii="Century Gothic" w:hAnsi="Century Gothic"/>
          <w:color w:val="0000CC"/>
          <w:lang w:val="el-GR"/>
        </w:rPr>
        <w:t xml:space="preserve">ιδεών. </w:t>
      </w:r>
      <w:r w:rsidR="00BF3CF6" w:rsidRPr="000A3E09">
        <w:rPr>
          <w:rFonts w:ascii="Century Gothic" w:hAnsi="Century Gothic"/>
          <w:color w:val="0000CC"/>
          <w:lang w:val="el-GR"/>
        </w:rPr>
        <w:t>Μέσα από ένα ψηφιακό καμβά οι χρήστες μοιράζονται ιδέες για εύρεση λύσεων σε ομαδικές εργασίες</w:t>
      </w:r>
      <w:r w:rsidR="00FE3E9A" w:rsidRPr="000A3E09">
        <w:rPr>
          <w:rFonts w:ascii="Century Gothic" w:hAnsi="Century Gothic"/>
          <w:color w:val="0000CC"/>
          <w:lang w:val="el-GR"/>
        </w:rPr>
        <w:t xml:space="preserve">. </w:t>
      </w:r>
      <w:r w:rsidRPr="000A3E09">
        <w:rPr>
          <w:rFonts w:ascii="Century Gothic" w:hAnsi="Century Gothic"/>
          <w:color w:val="0000CC"/>
          <w:lang w:val="el-GR"/>
        </w:rPr>
        <w:t xml:space="preserve"> </w:t>
      </w:r>
      <w:r w:rsidR="00FE3E9A" w:rsidRPr="000A3E09">
        <w:rPr>
          <w:rFonts w:ascii="Century Gothic" w:hAnsi="Century Gothic"/>
          <w:color w:val="0000CC"/>
          <w:lang w:val="el-GR"/>
        </w:rPr>
        <w:t xml:space="preserve">Η πλατφόρμα προσφέρει επίσης υπηρεσίες για διδάσκοντες μέσα από τις οποίες μπορούν να δομήσουν ασκήσεις </w:t>
      </w:r>
      <w:r w:rsidR="0036625C" w:rsidRPr="000A3E09">
        <w:rPr>
          <w:rFonts w:ascii="Century Gothic" w:hAnsi="Century Gothic"/>
          <w:color w:val="0000CC"/>
          <w:lang w:val="el-GR"/>
        </w:rPr>
        <w:t xml:space="preserve">προγραμματισμού </w:t>
      </w:r>
      <w:r w:rsidR="00FE3E9A" w:rsidRPr="000A3E09">
        <w:rPr>
          <w:rFonts w:ascii="Century Gothic" w:hAnsi="Century Gothic"/>
          <w:color w:val="0000CC"/>
          <w:lang w:val="el-GR"/>
        </w:rPr>
        <w:t>που αυτόματα ενσωματώνονται στο μαθησιακό περιβάλλον.</w:t>
      </w:r>
      <w:r w:rsidRPr="000A3E09">
        <w:rPr>
          <w:rFonts w:ascii="Century Gothic" w:hAnsi="Century Gothic"/>
          <w:color w:val="0000CC"/>
          <w:lang w:val="el-GR"/>
        </w:rPr>
        <w:t xml:space="preserve"> </w:t>
      </w:r>
    </w:p>
    <w:p w:rsidR="00C1023A" w:rsidRPr="000A3E09" w:rsidRDefault="00FE3E9A" w:rsidP="000A3E09">
      <w:pPr>
        <w:spacing w:line="360" w:lineRule="auto"/>
        <w:jc w:val="both"/>
        <w:rPr>
          <w:rFonts w:ascii="Century Gothic" w:hAnsi="Century Gothic"/>
          <w:color w:val="0000CC"/>
          <w:lang w:val="el-GR"/>
        </w:rPr>
      </w:pPr>
      <w:r w:rsidRPr="000A3E09">
        <w:rPr>
          <w:rFonts w:ascii="Century Gothic" w:hAnsi="Century Gothic"/>
          <w:color w:val="0000CC"/>
          <w:lang w:val="el-GR"/>
        </w:rPr>
        <w:t xml:space="preserve">Το έργο υλοποιείται μέσω του προγράμματος </w:t>
      </w:r>
      <w:r w:rsidRPr="000A3E09">
        <w:rPr>
          <w:rFonts w:ascii="Century Gothic" w:hAnsi="Century Gothic"/>
          <w:color w:val="0000CC"/>
        </w:rPr>
        <w:t>Erasmus</w:t>
      </w:r>
      <w:r w:rsidRPr="000A3E09">
        <w:rPr>
          <w:rFonts w:ascii="Century Gothic" w:hAnsi="Century Gothic"/>
          <w:color w:val="0000CC"/>
          <w:lang w:val="el-GR"/>
        </w:rPr>
        <w:t>+ στην</w:t>
      </w:r>
      <w:r w:rsidR="00C1023A" w:rsidRPr="000A3E09">
        <w:rPr>
          <w:rFonts w:ascii="Century Gothic" w:hAnsi="Century Gothic"/>
          <w:color w:val="0000CC"/>
          <w:lang w:val="el-GR"/>
        </w:rPr>
        <w:t xml:space="preserve"> Ελλάδα, τη Σλοβενία, την Κροατία, την Ιταλία, την Πορτογαλία, την Τουρκία και τη Βουλγαρία </w:t>
      </w:r>
      <w:r w:rsidRPr="000A3E09">
        <w:rPr>
          <w:rFonts w:ascii="Century Gothic" w:hAnsi="Century Gothic"/>
          <w:color w:val="0000CC"/>
          <w:lang w:val="el-GR"/>
        </w:rPr>
        <w:t xml:space="preserve">από το </w:t>
      </w:r>
      <w:r w:rsidR="00C1023A" w:rsidRPr="000A3E09">
        <w:rPr>
          <w:rFonts w:ascii="Century Gothic" w:hAnsi="Century Gothic"/>
          <w:color w:val="0000CC"/>
          <w:lang w:val="el-GR"/>
        </w:rPr>
        <w:t>2018 έως το 2020.</w:t>
      </w:r>
      <w:r w:rsidRPr="000A3E09">
        <w:rPr>
          <w:rFonts w:ascii="Century Gothic" w:hAnsi="Century Gothic"/>
          <w:color w:val="0000CC"/>
          <w:lang w:val="el-GR"/>
        </w:rPr>
        <w:t xml:space="preserve"> Επιστημονικά υπεύθυνος του έργου </w:t>
      </w:r>
      <w:r w:rsidR="00BF3CF6" w:rsidRPr="000A3E09">
        <w:rPr>
          <w:rFonts w:ascii="Century Gothic" w:hAnsi="Century Gothic"/>
          <w:color w:val="0000CC"/>
          <w:lang w:val="el-GR"/>
        </w:rPr>
        <w:t xml:space="preserve">για το Πανεπιστήμιο Θεσσαλίας </w:t>
      </w:r>
      <w:r w:rsidRPr="000A3E09">
        <w:rPr>
          <w:rFonts w:ascii="Century Gothic" w:hAnsi="Century Gothic"/>
          <w:color w:val="0000CC"/>
          <w:lang w:val="el-GR"/>
        </w:rPr>
        <w:t>είναι ο Ομ. Καθ. του ΤΗΜΜΥ κ. Ηλίας Χούστης ενώ οργανωτικά υπεύθυνη είναι το μέλος ΕΔΙΠ κ. Χαρίκλεια Τσαλαπάτα.</w:t>
      </w:r>
    </w:p>
    <w:p w:rsidR="00C1023A" w:rsidRDefault="00C1023A" w:rsidP="000B6E61">
      <w:pPr>
        <w:rPr>
          <w:lang w:val="en-US"/>
        </w:rPr>
      </w:pPr>
      <w:r>
        <w:rPr>
          <w:lang w:val="en-US"/>
        </w:rPr>
        <w:t>___________________________________________________________________________</w:t>
      </w:r>
    </w:p>
    <w:p w:rsidR="000B6E61" w:rsidRPr="00302F8B" w:rsidRDefault="000B6E61" w:rsidP="00302F8B">
      <w:pPr>
        <w:spacing w:line="360" w:lineRule="auto"/>
        <w:jc w:val="both"/>
        <w:rPr>
          <w:rFonts w:ascii="Century Gothic" w:hAnsi="Century Gothic"/>
          <w:color w:val="C00000"/>
          <w:lang w:val="en-US"/>
        </w:rPr>
      </w:pPr>
      <w:r w:rsidRPr="00302F8B">
        <w:rPr>
          <w:rFonts w:ascii="Century Gothic" w:hAnsi="Century Gothic"/>
          <w:color w:val="C00000"/>
          <w:lang w:val="en-US"/>
        </w:rPr>
        <w:t xml:space="preserve">According to the EU survey of women active in the ICT sector, out of 1.000 women with a bachelor degree only 29 carry a degree in ICT. This disparity continues at the professional level. According to the same report, only 30% of the approximately 7m individuals working in ICT in Europe are women; they are underrepresented at all levels of the sector, especially in decision making processes. According to the National Center for Education Statistics in the US, women represent just 18% of university graduates in computer science. However, in 1985 37% of computer science majors in the US were female. This demonstrates a decline I women </w:t>
      </w:r>
      <w:r w:rsidRPr="00302F8B">
        <w:rPr>
          <w:rFonts w:ascii="Century Gothic" w:hAnsi="Century Gothic"/>
          <w:color w:val="C00000"/>
          <w:lang w:val="en-US"/>
        </w:rPr>
        <w:lastRenderedPageBreak/>
        <w:t xml:space="preserve">participation in computer science. Professionally, 80% of top-level employees in Silicon Valley are male and only 10% of the technical positions at the same companies are occupied by females. </w:t>
      </w:r>
    </w:p>
    <w:p w:rsidR="000B6E61" w:rsidRPr="00302F8B" w:rsidRDefault="000B6E61" w:rsidP="00302F8B">
      <w:pPr>
        <w:spacing w:line="360" w:lineRule="auto"/>
        <w:jc w:val="both"/>
        <w:rPr>
          <w:rFonts w:ascii="Century Gothic" w:hAnsi="Century Gothic"/>
          <w:color w:val="C00000"/>
          <w:lang w:val="en-US"/>
        </w:rPr>
      </w:pPr>
      <w:r w:rsidRPr="00302F8B">
        <w:rPr>
          <w:rFonts w:ascii="Century Gothic" w:hAnsi="Century Gothic"/>
          <w:color w:val="C00000"/>
          <w:lang w:val="en-US"/>
        </w:rPr>
        <w:t xml:space="preserve">The reasons that lead women to avoid ICT are not related to competencies and skills. While the PISA report demonstrates that at age 15 girls perform as well as boys in related STEM subjects, girls may feel that ICT is a difficult subject. Girls choose to not follow STEM principles, which lead to engineering and ICT careers, as early as in lower high school under stereotypical perceptions that these careers are not suitable for them. Social perceptions further miss the links between ICT and the societal well-being; this further discourages girls, who wish to feel that their work is socially beneficial, from following ICT careers.  </w:t>
      </w:r>
    </w:p>
    <w:p w:rsidR="000B6E61" w:rsidRPr="00302F8B" w:rsidRDefault="000B6E61" w:rsidP="00302F8B">
      <w:pPr>
        <w:spacing w:line="360" w:lineRule="auto"/>
        <w:jc w:val="both"/>
        <w:rPr>
          <w:rFonts w:ascii="Century Gothic" w:hAnsi="Century Gothic"/>
          <w:color w:val="C00000"/>
          <w:lang w:val="en-US"/>
        </w:rPr>
      </w:pPr>
      <w:r w:rsidRPr="00302F8B">
        <w:rPr>
          <w:rFonts w:ascii="Century Gothic" w:hAnsi="Century Gothic"/>
          <w:color w:val="C00000"/>
          <w:lang w:val="en-US"/>
        </w:rPr>
        <w:t xml:space="preserve">The Coding4Girls project </w:t>
      </w:r>
      <w:r w:rsidR="003E310A" w:rsidRPr="00302F8B">
        <w:rPr>
          <w:rFonts w:ascii="Century Gothic" w:hAnsi="Century Gothic"/>
          <w:color w:val="C00000"/>
          <w:lang w:val="en-US"/>
        </w:rPr>
        <w:t>(</w:t>
      </w:r>
      <w:hyperlink r:id="rId10" w:history="1">
        <w:r w:rsidR="003E310A" w:rsidRPr="00302F8B">
          <w:rPr>
            <w:rStyle w:val="-"/>
            <w:rFonts w:ascii="Century Gothic" w:hAnsi="Century Gothic"/>
            <w:color w:val="C00000"/>
          </w:rPr>
          <w:t>http://coding4girls.eu</w:t>
        </w:r>
      </w:hyperlink>
      <w:r w:rsidR="003E310A" w:rsidRPr="00302F8B">
        <w:rPr>
          <w:rFonts w:ascii="Century Gothic" w:hAnsi="Century Gothic"/>
          <w:color w:val="C00000"/>
        </w:rPr>
        <w:t xml:space="preserve">) </w:t>
      </w:r>
      <w:r w:rsidRPr="00302F8B">
        <w:rPr>
          <w:rFonts w:ascii="Century Gothic" w:hAnsi="Century Gothic"/>
          <w:color w:val="C00000"/>
          <w:lang w:val="en-US"/>
        </w:rPr>
        <w:t xml:space="preserve">introduces a learning intervention that aims to engage girls aged 10 – 15 in programming with the objective of encouraging a broader participation of girls in ICT. </w:t>
      </w:r>
      <w:r w:rsidR="003E310A" w:rsidRPr="00302F8B">
        <w:rPr>
          <w:rFonts w:ascii="Century Gothic" w:hAnsi="Century Gothic"/>
          <w:color w:val="C00000"/>
          <w:lang w:val="en-US"/>
        </w:rPr>
        <w:t>The project is implemented by the Creative Technologies Learning Lab (</w:t>
      </w:r>
      <w:hyperlink r:id="rId11" w:history="1">
        <w:r w:rsidR="003E310A" w:rsidRPr="00302F8B">
          <w:rPr>
            <w:rStyle w:val="-"/>
            <w:rFonts w:ascii="Century Gothic" w:hAnsi="Century Gothic"/>
            <w:color w:val="C00000"/>
            <w:lang w:val="en-US"/>
          </w:rPr>
          <w:t>http://ctll.e-ce.uth.gr</w:t>
        </w:r>
      </w:hyperlink>
      <w:r w:rsidR="003E310A" w:rsidRPr="00302F8B">
        <w:rPr>
          <w:rFonts w:ascii="Century Gothic" w:hAnsi="Century Gothic"/>
          <w:color w:val="C00000"/>
          <w:lang w:val="en-US"/>
        </w:rPr>
        <w:t xml:space="preserve">) of the Department of Electrical and Computer Engineering of the University of Thessaly. </w:t>
      </w:r>
      <w:r w:rsidRPr="00302F8B">
        <w:rPr>
          <w:rFonts w:ascii="Century Gothic" w:hAnsi="Century Gothic"/>
          <w:color w:val="C00000"/>
          <w:lang w:val="en-US"/>
        </w:rPr>
        <w:t>A game-based learning environment has been developed that deploys design thinking principles for fostering innovation and engagement. Game-based learning principles encourage users to explore and experiment hands-on with programming concepts in a virtual world. By exploring the virtual environment users discover and engage with mini games that demonstrate coding elements such as loops, conditionals, variables, statements, sound, movement, parallelism, operators, and events. Once they understand the coding principles, users are challenged to deploy them in coding exercises. For this step the platform is integrated with Snap</w:t>
      </w:r>
      <w:proofErr w:type="gramStart"/>
      <w:r w:rsidRPr="00302F8B">
        <w:rPr>
          <w:rFonts w:ascii="Century Gothic" w:hAnsi="Century Gothic"/>
          <w:color w:val="C00000"/>
          <w:lang w:val="en-US"/>
        </w:rPr>
        <w:t>!.</w:t>
      </w:r>
      <w:proofErr w:type="gramEnd"/>
      <w:r w:rsidRPr="00302F8B">
        <w:rPr>
          <w:rFonts w:ascii="Century Gothic" w:hAnsi="Century Gothic"/>
          <w:color w:val="C00000"/>
          <w:lang w:val="en-US"/>
        </w:rPr>
        <w:t xml:space="preserve"> The platform goes a step beyond exploration and encourages group collaboration towards solving jointly owned activities. Deploying the design thinking principles of empathy, ideation, prototyping, and evaluation the platform encourages users to brainstorm through a common digital canvas that they can simultaneously edit to post ideas towards a solution and to review the ideas of others in a process that encourages innovative thinking. </w:t>
      </w:r>
    </w:p>
    <w:p w:rsidR="000B6E61" w:rsidRPr="00302F8B" w:rsidRDefault="000B6E61" w:rsidP="00302F8B">
      <w:pPr>
        <w:spacing w:line="360" w:lineRule="auto"/>
        <w:jc w:val="both"/>
        <w:rPr>
          <w:rFonts w:ascii="Century Gothic" w:hAnsi="Century Gothic"/>
          <w:color w:val="C00000"/>
          <w:lang w:val="en-US"/>
        </w:rPr>
      </w:pPr>
      <w:r w:rsidRPr="00302F8B">
        <w:rPr>
          <w:rFonts w:ascii="Century Gothic" w:hAnsi="Century Gothic"/>
          <w:color w:val="C00000"/>
          <w:lang w:val="en-US"/>
        </w:rPr>
        <w:t xml:space="preserve">The platform further offers services for educators through which they can structure coding activities in steps through an easy to use web-based interface. The educator activities are transparently integrated into the student virtual learning environment, </w:t>
      </w:r>
      <w:r w:rsidRPr="00302F8B">
        <w:rPr>
          <w:rFonts w:ascii="Century Gothic" w:hAnsi="Century Gothic"/>
          <w:color w:val="C00000"/>
          <w:lang w:val="en-US"/>
        </w:rPr>
        <w:lastRenderedPageBreak/>
        <w:t xml:space="preserve">introducing an easy to use interface for educators to interact with the student virtual environment. </w:t>
      </w:r>
    </w:p>
    <w:p w:rsidR="000B6E61" w:rsidRPr="00302F8B" w:rsidRDefault="000B6E61" w:rsidP="00302F8B">
      <w:pPr>
        <w:spacing w:line="360" w:lineRule="auto"/>
        <w:jc w:val="both"/>
        <w:rPr>
          <w:rFonts w:ascii="Century Gothic" w:hAnsi="Century Gothic"/>
          <w:color w:val="C00000"/>
          <w:lang w:val="en-US"/>
        </w:rPr>
      </w:pPr>
      <w:r w:rsidRPr="00302F8B">
        <w:rPr>
          <w:rFonts w:ascii="Century Gothic" w:hAnsi="Century Gothic"/>
          <w:color w:val="C00000"/>
          <w:lang w:val="en-US"/>
        </w:rPr>
        <w:t xml:space="preserve">The proposed learning intervention is currently being evaluated with students in Greece, Slovenia, Croatia, Italy, Portugal, Turkey, and Bulgaria with very positive feedback by both educators and students. The project is funded by the Erasmus+ Program of the EU and runs from 2018 to 2020. </w:t>
      </w:r>
    </w:p>
    <w:p w:rsidR="00B11D60" w:rsidRPr="00302F8B" w:rsidRDefault="00B11D60" w:rsidP="00302F8B">
      <w:pPr>
        <w:spacing w:line="360" w:lineRule="auto"/>
        <w:jc w:val="both"/>
        <w:rPr>
          <w:rFonts w:ascii="Century Gothic" w:hAnsi="Century Gothic"/>
          <w:color w:val="C00000"/>
          <w:lang w:val="en-US"/>
        </w:rPr>
      </w:pPr>
    </w:p>
    <w:sectPr w:rsidR="00B11D60" w:rsidRPr="00302F8B" w:rsidSect="00B11D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E61"/>
    <w:rsid w:val="0007370E"/>
    <w:rsid w:val="000A3E09"/>
    <w:rsid w:val="000B6E61"/>
    <w:rsid w:val="00160375"/>
    <w:rsid w:val="001D32EE"/>
    <w:rsid w:val="001F7483"/>
    <w:rsid w:val="002B0E31"/>
    <w:rsid w:val="00302F8B"/>
    <w:rsid w:val="00315F6B"/>
    <w:rsid w:val="0036625C"/>
    <w:rsid w:val="003E310A"/>
    <w:rsid w:val="004D7A3C"/>
    <w:rsid w:val="005C2B0B"/>
    <w:rsid w:val="005E12FC"/>
    <w:rsid w:val="007942DC"/>
    <w:rsid w:val="009D2EAF"/>
    <w:rsid w:val="009F7C5B"/>
    <w:rsid w:val="00A74076"/>
    <w:rsid w:val="00A93FE1"/>
    <w:rsid w:val="00AC2995"/>
    <w:rsid w:val="00B11D60"/>
    <w:rsid w:val="00B13674"/>
    <w:rsid w:val="00B55AB5"/>
    <w:rsid w:val="00BF3CF6"/>
    <w:rsid w:val="00C1023A"/>
    <w:rsid w:val="00C34F64"/>
    <w:rsid w:val="00CA4FD5"/>
    <w:rsid w:val="00CF4695"/>
    <w:rsid w:val="00D21AA4"/>
    <w:rsid w:val="00D36EE5"/>
    <w:rsid w:val="00D90669"/>
    <w:rsid w:val="00E11E31"/>
    <w:rsid w:val="00E47A1B"/>
    <w:rsid w:val="00E851DE"/>
    <w:rsid w:val="00F37CA9"/>
    <w:rsid w:val="00F90EBC"/>
    <w:rsid w:val="00FE3E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32EE"/>
    <w:rPr>
      <w:color w:val="0563C1" w:themeColor="hyperlink"/>
      <w:u w:val="single"/>
    </w:rPr>
  </w:style>
  <w:style w:type="paragraph" w:styleId="a3">
    <w:name w:val="Balloon Text"/>
    <w:basedOn w:val="a"/>
    <w:link w:val="Char"/>
    <w:uiPriority w:val="99"/>
    <w:semiHidden/>
    <w:unhideWhenUsed/>
    <w:rsid w:val="00AC29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2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ll.e-ce.uth.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ctll.e-ce.uth.gr" TargetMode="External"/><Relationship Id="rId5" Type="http://schemas.openxmlformats.org/officeDocument/2006/relationships/image" Target="media/image2.jpeg"/><Relationship Id="rId10" Type="http://schemas.openxmlformats.org/officeDocument/2006/relationships/hyperlink" Target="http://coding4girls.eu" TargetMode="External"/><Relationship Id="rId4" Type="http://schemas.openxmlformats.org/officeDocument/2006/relationships/image" Target="media/image1.jpeg"/><Relationship Id="rId9" Type="http://schemas.openxmlformats.org/officeDocument/2006/relationships/hyperlink" Target="https://www.coding4girl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htsalapa</dc:creator>
  <cp:lastModifiedBy>Χρήστης των Windows</cp:lastModifiedBy>
  <cp:revision>4</cp:revision>
  <dcterms:created xsi:type="dcterms:W3CDTF">2020-03-26T13:43:00Z</dcterms:created>
  <dcterms:modified xsi:type="dcterms:W3CDTF">2020-03-26T13:45:00Z</dcterms:modified>
</cp:coreProperties>
</file>