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DD" w:rsidRDefault="00945DDD" w:rsidP="00945DDD">
      <w:pPr>
        <w:tabs>
          <w:tab w:val="center" w:pos="4153"/>
        </w:tabs>
        <w:jc w:val="center"/>
        <w:rPr>
          <w:rFonts w:ascii="Verdana" w:hAnsi="Verdana"/>
          <w:sz w:val="16"/>
          <w:szCs w:val="16"/>
        </w:rPr>
      </w:pPr>
      <w:r>
        <w:rPr>
          <w:noProof/>
          <w:lang w:val="el-GR" w:eastAsia="el-GR"/>
        </w:rPr>
        <w:drawing>
          <wp:inline distT="0" distB="0" distL="0" distR="0" wp14:anchorId="407D9B07" wp14:editId="2DB138C1">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945DDD" w:rsidRPr="00945DDD" w:rsidRDefault="00945DDD" w:rsidP="00945DDD">
      <w:pPr>
        <w:spacing w:line="360" w:lineRule="auto"/>
        <w:jc w:val="center"/>
        <w:rPr>
          <w:rFonts w:ascii="Book Antiqua" w:hAnsi="Book Antiqua"/>
          <w:b/>
          <w:color w:val="0000CC"/>
          <w:sz w:val="32"/>
          <w:szCs w:val="32"/>
          <w:lang w:val="el-GR"/>
        </w:rPr>
      </w:pPr>
      <w:r w:rsidRPr="00945DDD">
        <w:rPr>
          <w:rFonts w:ascii="Book Antiqua" w:hAnsi="Book Antiqua"/>
          <w:b/>
          <w:color w:val="0000CC"/>
          <w:sz w:val="32"/>
          <w:szCs w:val="32"/>
          <w:lang w:val="el-GR"/>
        </w:rPr>
        <w:t xml:space="preserve">ΕΚΔΗΛΩΣΕΙΣ–ΔΡΑΣΤΗΡΙΟΤΗΤΕΣ </w:t>
      </w:r>
    </w:p>
    <w:p w:rsidR="00945DDD" w:rsidRPr="00945DDD" w:rsidRDefault="00945DDD" w:rsidP="00945DDD">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lang w:val="el-GR"/>
        </w:rPr>
      </w:pPr>
      <w:r w:rsidRPr="00945DDD">
        <w:rPr>
          <w:rFonts w:ascii="Book Antiqua" w:hAnsi="Book Antiqua"/>
          <w:b/>
          <w:color w:val="0000CC"/>
          <w:sz w:val="48"/>
          <w:szCs w:val="48"/>
          <w:highlight w:val="yellow"/>
          <w:u w:val="single"/>
          <w:lang w:val="el-GR"/>
        </w:rPr>
        <w:t>ΚΑΘΗΜΕΡΙΝΗ ΕΚΔΟΣΗ</w:t>
      </w:r>
      <w:r w:rsidRPr="00945DDD">
        <w:rPr>
          <w:rFonts w:ascii="Book Antiqua" w:hAnsi="Book Antiqua"/>
          <w:b/>
          <w:color w:val="0000CC"/>
          <w:sz w:val="48"/>
          <w:szCs w:val="48"/>
          <w:u w:val="single"/>
          <w:lang w:val="el-GR"/>
        </w:rPr>
        <w:t xml:space="preserve">  </w:t>
      </w:r>
    </w:p>
    <w:p w:rsidR="00945DDD" w:rsidRDefault="00945DDD" w:rsidP="00945DDD">
      <w:pPr>
        <w:spacing w:before="130" w:after="100" w:afterAutospacing="1"/>
        <w:jc w:val="center"/>
        <w:rPr>
          <w:rFonts w:ascii="Century Gothic" w:hAnsi="Century Gothic"/>
          <w:b/>
          <w:color w:val="0000CC"/>
          <w:highlight w:val="yellow"/>
          <w:lang w:val="el-GR"/>
        </w:rPr>
      </w:pPr>
      <w:r w:rsidRPr="00945DDD">
        <w:rPr>
          <w:b/>
          <w:color w:val="0000CC"/>
          <w:sz w:val="28"/>
          <w:szCs w:val="28"/>
          <w:lang w:val="el-GR"/>
        </w:rPr>
        <w:t>ΔΕΛΤΙΟ ΤΥΠΟΥ</w:t>
      </w:r>
    </w:p>
    <w:p w:rsidR="0060037F" w:rsidRPr="0060037F" w:rsidRDefault="0060037F" w:rsidP="0060037F">
      <w:pPr>
        <w:spacing w:line="360" w:lineRule="auto"/>
        <w:jc w:val="center"/>
        <w:rPr>
          <w:rFonts w:ascii="Century Gothic" w:hAnsi="Century Gothic"/>
          <w:b/>
          <w:color w:val="0000CC"/>
          <w:sz w:val="32"/>
          <w:szCs w:val="32"/>
          <w:lang w:val="el-GR"/>
        </w:rPr>
      </w:pPr>
      <w:r w:rsidRPr="0060037F">
        <w:rPr>
          <w:rFonts w:ascii="Century Gothic" w:hAnsi="Century Gothic"/>
          <w:b/>
          <w:color w:val="0000CC"/>
          <w:sz w:val="32"/>
          <w:szCs w:val="32"/>
          <w:highlight w:val="yellow"/>
          <w:lang w:val="el-GR"/>
        </w:rPr>
        <w:t>Συνεργασία του Τμήματος Ηλεκτρολόγων Μηχανικώ</w:t>
      </w:r>
      <w:r w:rsidRPr="0060037F">
        <w:rPr>
          <w:rFonts w:ascii="Century Gothic" w:hAnsi="Century Gothic"/>
          <w:b/>
          <w:color w:val="0000CC"/>
          <w:sz w:val="32"/>
          <w:szCs w:val="32"/>
          <w:highlight w:val="yellow"/>
          <w:lang w:val="el-GR"/>
        </w:rPr>
        <w:t>ν και Μηχανικών Υπολογιστών με Π</w:t>
      </w:r>
      <w:r w:rsidRPr="0060037F">
        <w:rPr>
          <w:rFonts w:ascii="Century Gothic" w:hAnsi="Century Gothic"/>
          <w:b/>
          <w:color w:val="0000CC"/>
          <w:sz w:val="32"/>
          <w:szCs w:val="32"/>
          <w:highlight w:val="yellow"/>
          <w:lang w:val="el-GR"/>
        </w:rPr>
        <w:t>ανεπιστήμια της Ασίας</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noProof/>
          <w:color w:val="0000CC"/>
          <w:lang w:val="el-GR" w:eastAsia="el-GR"/>
        </w:rPr>
        <w:drawing>
          <wp:anchor distT="0" distB="0" distL="114300" distR="114300" simplePos="0" relativeHeight="251659264" behindDoc="0" locked="0" layoutInCell="1" allowOverlap="1" wp14:anchorId="29FDD3E0" wp14:editId="09B603E8">
            <wp:simplePos x="0" y="0"/>
            <wp:positionH relativeFrom="margin">
              <wp:align>left</wp:align>
            </wp:positionH>
            <wp:positionV relativeFrom="paragraph">
              <wp:posOffset>-3175</wp:posOffset>
            </wp:positionV>
            <wp:extent cx="2876550" cy="1933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53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9676" cy="1936150"/>
                    </a:xfrm>
                    <a:prstGeom prst="rect">
                      <a:avLst/>
                    </a:prstGeom>
                  </pic:spPr>
                </pic:pic>
              </a:graphicData>
            </a:graphic>
            <wp14:sizeRelH relativeFrom="margin">
              <wp14:pctWidth>0</wp14:pctWidth>
            </wp14:sizeRelH>
            <wp14:sizeRelV relativeFrom="margin">
              <wp14:pctHeight>0</wp14:pctHeight>
            </wp14:sizeRelV>
          </wp:anchor>
        </w:drawing>
      </w:r>
      <w:r w:rsidRPr="0060037F">
        <w:rPr>
          <w:rFonts w:ascii="Century Gothic" w:hAnsi="Century Gothic"/>
          <w:color w:val="0000CC"/>
          <w:lang w:val="el-GR"/>
        </w:rPr>
        <w:t>Το Τμήμα Ηλεκτρολόγων Μηχανικών και Μηχανικών Υπολογιστών (ΤΗΜΜΥ</w:t>
      </w:r>
      <w:bookmarkStart w:id="0" w:name="_GoBack"/>
      <w:bookmarkEnd w:id="0"/>
      <w:r w:rsidRPr="0060037F">
        <w:rPr>
          <w:rFonts w:ascii="Century Gothic" w:hAnsi="Century Gothic"/>
          <w:color w:val="0000CC"/>
          <w:lang w:val="el-GR"/>
        </w:rPr>
        <w:t xml:space="preserve">) συντονίζει ερευνητική δραστηριότητα που έχει σαν στόχο τη διάχυση τεχνογνωσίας από πανεπιστήμια της Ευρώπης σε πανεπιστήμια της Ασίας σε θέματα εφαρμογής της τεχνολογίας υπολογιστών σε διαδικασίες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μάθησης. </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noProof/>
          <w:color w:val="0000CC"/>
          <w:lang w:val="el-GR" w:eastAsia="el-GR"/>
        </w:rPr>
        <w:lastRenderedPageBreak/>
        <w:drawing>
          <wp:anchor distT="0" distB="0" distL="114300" distR="114300" simplePos="0" relativeHeight="251660288" behindDoc="0" locked="0" layoutInCell="1" allowOverlap="1" wp14:anchorId="26C0925B" wp14:editId="44BB73F1">
            <wp:simplePos x="0" y="0"/>
            <wp:positionH relativeFrom="margin">
              <wp:align>left</wp:align>
            </wp:positionH>
            <wp:positionV relativeFrom="paragraph">
              <wp:posOffset>287020</wp:posOffset>
            </wp:positionV>
            <wp:extent cx="2857500" cy="2143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830_160847-1-300x225.jpg"/>
                    <pic:cNvPicPr/>
                  </pic:nvPicPr>
                  <pic:blipFill>
                    <a:blip r:embed="rId6">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anchor>
        </w:drawing>
      </w:r>
      <w:r w:rsidRPr="0060037F">
        <w:rPr>
          <w:rFonts w:ascii="Century Gothic" w:hAnsi="Century Gothic"/>
          <w:color w:val="0000CC"/>
          <w:lang w:val="el-GR"/>
        </w:rPr>
        <w:t xml:space="preserve">Στην </w:t>
      </w:r>
      <w:proofErr w:type="spellStart"/>
      <w:r w:rsidRPr="0060037F">
        <w:rPr>
          <w:rFonts w:ascii="Century Gothic" w:hAnsi="Century Gothic"/>
          <w:color w:val="0000CC"/>
          <w:lang w:val="el-GR"/>
        </w:rPr>
        <w:t>προβληματοκεντρική</w:t>
      </w:r>
      <w:proofErr w:type="spellEnd"/>
      <w:r w:rsidRPr="0060037F">
        <w:rPr>
          <w:rFonts w:ascii="Century Gothic" w:hAnsi="Century Gothic"/>
          <w:color w:val="0000CC"/>
          <w:lang w:val="el-GR"/>
        </w:rPr>
        <w:t xml:space="preserve"> μάθηση οι φοιτητές χτίζουν γνώση λύνοντας ένα συγκεκριμένο πρόβλημα. Τα προβλήματα που επιλέγονται είναι εμπνευσμένα από την πραγματική ζωή και τη βιομηχανία και συχνά είναι ανοιχτά, δηλαδή δεν έχουν μια και μόνο λύση. Η </w:t>
      </w:r>
      <w:proofErr w:type="spellStart"/>
      <w:r w:rsidRPr="0060037F">
        <w:rPr>
          <w:rFonts w:ascii="Century Gothic" w:hAnsi="Century Gothic"/>
          <w:color w:val="0000CC"/>
          <w:lang w:val="el-GR"/>
        </w:rPr>
        <w:t>προβληματοκεντρική</w:t>
      </w:r>
      <w:proofErr w:type="spellEnd"/>
      <w:r w:rsidRPr="0060037F">
        <w:rPr>
          <w:rFonts w:ascii="Century Gothic" w:hAnsi="Century Gothic"/>
          <w:color w:val="0000CC"/>
          <w:lang w:val="el-GR"/>
        </w:rPr>
        <w:t xml:space="preserve"> μάθηση προκαλεί τους φοιτητές να συνδυάσουν γνώσεις από διάφορα μαθησιακά αντικείμενα του προγράμματος σπουδών για να συνθέσουν μια βιώσιμη λύση, προσομοιώνοντας τον τρόπο με τον οποίο θα δρουν σε μελλοντικούς ρόλους σαν επαγγελματίες. Με τον τρόπο αυτό η </w:t>
      </w:r>
      <w:proofErr w:type="spellStart"/>
      <w:r w:rsidRPr="0060037F">
        <w:rPr>
          <w:rFonts w:ascii="Century Gothic" w:hAnsi="Century Gothic"/>
          <w:color w:val="0000CC"/>
          <w:lang w:val="el-GR"/>
        </w:rPr>
        <w:t>προβληματοκεντρική</w:t>
      </w:r>
      <w:proofErr w:type="spellEnd"/>
      <w:r w:rsidRPr="0060037F">
        <w:rPr>
          <w:rFonts w:ascii="Century Gothic" w:hAnsi="Century Gothic"/>
          <w:color w:val="0000CC"/>
          <w:lang w:val="el-GR"/>
        </w:rPr>
        <w:t xml:space="preserve"> μάθηση προωθεί τη μεταφορά της γνώσης από τον ακαδημαϊκό χώρο στον επαγγελματικό συμβάλλοντας στη σύνδεση της μάθησης με τις ανάγκες της βιομηχανίας και της κοινωνίας. </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color w:val="0000CC"/>
          <w:lang w:val="el-GR"/>
        </w:rPr>
        <w:t xml:space="preserve">Στα πλαίσια του ερευνητικού σχεδίου </w:t>
      </w:r>
      <w:r w:rsidRPr="0060037F">
        <w:rPr>
          <w:rFonts w:ascii="Century Gothic" w:hAnsi="Century Gothic"/>
          <w:color w:val="0000CC"/>
          <w:lang w:val="en-US"/>
        </w:rPr>
        <w:t>ALIEN</w:t>
      </w:r>
      <w:r w:rsidRPr="0060037F">
        <w:rPr>
          <w:rFonts w:ascii="Century Gothic" w:hAnsi="Century Gothic"/>
          <w:color w:val="0000CC"/>
          <w:lang w:val="el-GR"/>
        </w:rPr>
        <w:t xml:space="preserve">: </w:t>
      </w:r>
      <w:r w:rsidRPr="0060037F">
        <w:rPr>
          <w:rFonts w:ascii="Century Gothic" w:hAnsi="Century Gothic"/>
          <w:color w:val="0000CC"/>
          <w:lang w:val="en-US"/>
        </w:rPr>
        <w:t>Active</w:t>
      </w:r>
      <w:r w:rsidRPr="0060037F">
        <w:rPr>
          <w:rFonts w:ascii="Century Gothic" w:hAnsi="Century Gothic"/>
          <w:color w:val="0000CC"/>
          <w:lang w:val="el-GR"/>
        </w:rPr>
        <w:t xml:space="preserve"> </w:t>
      </w:r>
      <w:r w:rsidRPr="0060037F">
        <w:rPr>
          <w:rFonts w:ascii="Century Gothic" w:hAnsi="Century Gothic"/>
          <w:color w:val="0000CC"/>
          <w:lang w:val="en-US"/>
        </w:rPr>
        <w:t>Learning</w:t>
      </w:r>
      <w:r w:rsidRPr="0060037F">
        <w:rPr>
          <w:rFonts w:ascii="Century Gothic" w:hAnsi="Century Gothic"/>
          <w:color w:val="0000CC"/>
          <w:lang w:val="el-GR"/>
        </w:rPr>
        <w:t xml:space="preserve"> </w:t>
      </w:r>
      <w:r w:rsidRPr="0060037F">
        <w:rPr>
          <w:rFonts w:ascii="Century Gothic" w:hAnsi="Century Gothic"/>
          <w:color w:val="0000CC"/>
          <w:lang w:val="en-US"/>
        </w:rPr>
        <w:t>in</w:t>
      </w:r>
      <w:r w:rsidRPr="0060037F">
        <w:rPr>
          <w:rFonts w:ascii="Century Gothic" w:hAnsi="Century Gothic"/>
          <w:color w:val="0000CC"/>
          <w:lang w:val="el-GR"/>
        </w:rPr>
        <w:t xml:space="preserve"> </w:t>
      </w:r>
      <w:r w:rsidRPr="0060037F">
        <w:rPr>
          <w:rFonts w:ascii="Century Gothic" w:hAnsi="Century Gothic"/>
          <w:color w:val="0000CC"/>
          <w:lang w:val="en-US"/>
        </w:rPr>
        <w:t>Engineering</w:t>
      </w:r>
      <w:r w:rsidRPr="0060037F">
        <w:rPr>
          <w:rFonts w:ascii="Century Gothic" w:hAnsi="Century Gothic"/>
          <w:color w:val="0000CC"/>
          <w:lang w:val="el-GR"/>
        </w:rPr>
        <w:t xml:space="preserve"> </w:t>
      </w:r>
      <w:r w:rsidRPr="0060037F">
        <w:rPr>
          <w:rFonts w:ascii="Century Gothic" w:hAnsi="Century Gothic"/>
          <w:color w:val="0000CC"/>
          <w:lang w:val="en-US"/>
        </w:rPr>
        <w:t>Education</w:t>
      </w:r>
      <w:r w:rsidRPr="0060037F">
        <w:rPr>
          <w:rFonts w:ascii="Century Gothic" w:hAnsi="Century Gothic"/>
          <w:color w:val="0000CC"/>
          <w:lang w:val="el-GR"/>
        </w:rPr>
        <w:t xml:space="preserve"> (</w:t>
      </w:r>
      <w:r w:rsidRPr="0060037F">
        <w:rPr>
          <w:rFonts w:ascii="Century Gothic" w:hAnsi="Century Gothic"/>
          <w:color w:val="0000CC"/>
          <w:lang w:val="en-US"/>
        </w:rPr>
        <w:t>http</w:t>
      </w:r>
      <w:r w:rsidRPr="0060037F">
        <w:rPr>
          <w:rFonts w:ascii="Century Gothic" w:hAnsi="Century Gothic"/>
          <w:color w:val="0000CC"/>
          <w:lang w:val="el-GR"/>
        </w:rPr>
        <w:t>://</w:t>
      </w:r>
      <w:proofErr w:type="spellStart"/>
      <w:r w:rsidRPr="0060037F">
        <w:rPr>
          <w:rFonts w:ascii="Century Gothic" w:hAnsi="Century Gothic"/>
          <w:color w:val="0000CC"/>
          <w:lang w:val="en-US"/>
        </w:rPr>
        <w:t>projectalien</w:t>
      </w:r>
      <w:proofErr w:type="spellEnd"/>
      <w:r w:rsidRPr="0060037F">
        <w:rPr>
          <w:rFonts w:ascii="Century Gothic" w:hAnsi="Century Gothic"/>
          <w:color w:val="0000CC"/>
          <w:lang w:val="el-GR"/>
        </w:rPr>
        <w:t>.</w:t>
      </w:r>
      <w:proofErr w:type="spellStart"/>
      <w:r w:rsidRPr="0060037F">
        <w:rPr>
          <w:rFonts w:ascii="Century Gothic" w:hAnsi="Century Gothic"/>
          <w:color w:val="0000CC"/>
          <w:lang w:val="en-US"/>
        </w:rPr>
        <w:t>eu</w:t>
      </w:r>
      <w:proofErr w:type="spellEnd"/>
      <w:r w:rsidRPr="0060037F">
        <w:rPr>
          <w:rFonts w:ascii="Century Gothic" w:hAnsi="Century Gothic"/>
          <w:color w:val="0000CC"/>
          <w:lang w:val="el-GR"/>
        </w:rPr>
        <w:t>) η ερευνητική ομάδα Δημιουργικών Τεχνολογιών Μάθησης του τμήματος (</w:t>
      </w:r>
      <w:r w:rsidRPr="0060037F">
        <w:rPr>
          <w:rFonts w:ascii="Century Gothic" w:hAnsi="Century Gothic"/>
          <w:color w:val="0000CC"/>
          <w:lang w:val="en-US"/>
        </w:rPr>
        <w:t>http</w:t>
      </w:r>
      <w:r w:rsidRPr="0060037F">
        <w:rPr>
          <w:rFonts w:ascii="Century Gothic" w:hAnsi="Century Gothic"/>
          <w:color w:val="0000CC"/>
          <w:lang w:val="el-GR"/>
        </w:rPr>
        <w:t>://</w:t>
      </w:r>
      <w:proofErr w:type="spellStart"/>
      <w:r w:rsidRPr="0060037F">
        <w:rPr>
          <w:rFonts w:ascii="Century Gothic" w:hAnsi="Century Gothic"/>
          <w:color w:val="0000CC"/>
          <w:lang w:val="en-US"/>
        </w:rPr>
        <w:t>ctll</w:t>
      </w:r>
      <w:proofErr w:type="spellEnd"/>
      <w:r w:rsidRPr="0060037F">
        <w:rPr>
          <w:rFonts w:ascii="Century Gothic" w:hAnsi="Century Gothic"/>
          <w:color w:val="0000CC"/>
          <w:lang w:val="el-GR"/>
        </w:rPr>
        <w:t>.</w:t>
      </w:r>
      <w:r w:rsidRPr="0060037F">
        <w:rPr>
          <w:rFonts w:ascii="Century Gothic" w:hAnsi="Century Gothic"/>
          <w:color w:val="0000CC"/>
          <w:lang w:val="en-US"/>
        </w:rPr>
        <w:t>e</w:t>
      </w:r>
      <w:r w:rsidRPr="0060037F">
        <w:rPr>
          <w:rFonts w:ascii="Century Gothic" w:hAnsi="Century Gothic"/>
          <w:color w:val="0000CC"/>
          <w:lang w:val="el-GR"/>
        </w:rPr>
        <w:t>-</w:t>
      </w:r>
      <w:proofErr w:type="spellStart"/>
      <w:r w:rsidRPr="0060037F">
        <w:rPr>
          <w:rFonts w:ascii="Century Gothic" w:hAnsi="Century Gothic"/>
          <w:color w:val="0000CC"/>
          <w:lang w:val="en-US"/>
        </w:rPr>
        <w:t>ce</w:t>
      </w:r>
      <w:proofErr w:type="spellEnd"/>
      <w:r w:rsidRPr="0060037F">
        <w:rPr>
          <w:rFonts w:ascii="Century Gothic" w:hAnsi="Century Gothic"/>
          <w:color w:val="0000CC"/>
          <w:lang w:val="el-GR"/>
        </w:rPr>
        <w:t>.</w:t>
      </w:r>
      <w:proofErr w:type="spellStart"/>
      <w:r w:rsidRPr="0060037F">
        <w:rPr>
          <w:rFonts w:ascii="Century Gothic" w:hAnsi="Century Gothic"/>
          <w:color w:val="0000CC"/>
          <w:lang w:val="en-US"/>
        </w:rPr>
        <w:t>uth</w:t>
      </w:r>
      <w:proofErr w:type="spellEnd"/>
      <w:r w:rsidRPr="0060037F">
        <w:rPr>
          <w:rFonts w:ascii="Century Gothic" w:hAnsi="Century Gothic"/>
          <w:color w:val="0000CC"/>
          <w:lang w:val="el-GR"/>
        </w:rPr>
        <w:t>.</w:t>
      </w:r>
      <w:r w:rsidRPr="0060037F">
        <w:rPr>
          <w:rFonts w:ascii="Century Gothic" w:hAnsi="Century Gothic"/>
          <w:color w:val="0000CC"/>
          <w:lang w:val="en-US"/>
        </w:rPr>
        <w:t>gr</w:t>
      </w:r>
      <w:r w:rsidRPr="0060037F">
        <w:rPr>
          <w:rFonts w:ascii="Century Gothic" w:hAnsi="Century Gothic"/>
          <w:color w:val="0000CC"/>
          <w:lang w:val="el-GR"/>
        </w:rPr>
        <w:t xml:space="preserve">) υλοποιεί μαθησιακή παρέμβαση που έχει σαν στόχο την ενσωμάτωση της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μάθησης ως στρατηγικής παιδαγωγικής μεθόδου στην πολυτεχνική τριτοβάθμια εκπαίδευση. Η ομάδα συνεργάζεται με 12 πανεπιστήμια στην Ασία και συγκεκριμένα στη Μαλαισία, το Βιετνάμ, την Καμπότζη, το Νεπάλ, και το Πακιστάν. Συνεργάζεται επίσης με 4 πανεπιστήμια στην Ευρώπη και συγκεκριμένα την Πορτογαλία, την Εσθονία, τη Βουλγαρία, και το Ηνωμένο Βασίλειο. </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color w:val="0000CC"/>
          <w:lang w:val="el-GR"/>
        </w:rPr>
        <w:t xml:space="preserve">Η μαθησιακή παρέμβαση που αναπτύσσεται σκοπεύει στην αντιμετώπιση των προκλήσεων που επιβραδύνουν την ενσωμάτωση της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μεθόδου στην εκπαίδευση. Συγκεκριμένα, έχουν δημιουργηθεί εργαστήρια υπολογιστών στα 12 πανεπιστήμια της Ασίας. Έχει επίσης αναπτυχθεί ψηφιακή πλατφόρμα συνεργασίας που στοχεύει στην από κοινού ανάπτυξη γνώσεων σε θέματα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μάθησης και στην προώθηση της εφαρμογής της προς όφελος των φοιτητών και διδασκόντων. Η πλατφόρμα προσφέρει αποθετήριο προβλημάτων που αφορούν την πολυτεχνική εκπαίδευση ενώ για </w:t>
      </w:r>
      <w:r w:rsidRPr="0060037F">
        <w:rPr>
          <w:rFonts w:ascii="Century Gothic" w:hAnsi="Century Gothic"/>
          <w:color w:val="0000CC"/>
          <w:lang w:val="el-GR"/>
        </w:rPr>
        <w:lastRenderedPageBreak/>
        <w:t xml:space="preserve">τη λύση τους είναι σημαντική η εφαρμογή ψηφιακών εργαλείων, προσομοιώσεων, και παιχνιδιών. Η πλατφόρμα προσφέρει επίσης δυνατότητες ανταλλαγής καλών πρακτικών σε θέματα που αφορούν την πρακτική εφαρμογή της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μάθησης καθώς και το πώς αυτή μπορεί να συνδυαστεί με αναδυόμενες τεχνολογίες όπως η τεχνητή νοημοσύνη και τα ψηφιακά μαθησιακά παιχνίδια. Τέλος, στα πλαίσια της μαθησιακής παρέμβασης οργανώνεται εκπαίδευση διδασκόντων με στόχο την ανταλλαγή γνώσεων σχετικά με την εφαρμογή της </w:t>
      </w:r>
      <w:proofErr w:type="spellStart"/>
      <w:r w:rsidRPr="0060037F">
        <w:rPr>
          <w:rFonts w:ascii="Century Gothic" w:hAnsi="Century Gothic"/>
          <w:color w:val="0000CC"/>
          <w:lang w:val="el-GR"/>
        </w:rPr>
        <w:t>προβληματοκεντρικής</w:t>
      </w:r>
      <w:proofErr w:type="spellEnd"/>
      <w:r w:rsidRPr="0060037F">
        <w:rPr>
          <w:rFonts w:ascii="Century Gothic" w:hAnsi="Century Gothic"/>
          <w:color w:val="0000CC"/>
          <w:lang w:val="el-GR"/>
        </w:rPr>
        <w:t xml:space="preserve"> μάθησης με χρήση τεχνολογίας υπολογιστών. </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color w:val="0000CC"/>
          <w:lang w:val="el-GR"/>
        </w:rPr>
        <w:t>Στα πλαίσια του ερευνητικού σχεδίου το ΤΗΜΜΥ συντόνισε την 4</w:t>
      </w:r>
      <w:r w:rsidRPr="0060037F">
        <w:rPr>
          <w:rFonts w:ascii="Century Gothic" w:hAnsi="Century Gothic"/>
          <w:color w:val="0000CC"/>
          <w:vertAlign w:val="superscript"/>
          <w:lang w:val="el-GR"/>
        </w:rPr>
        <w:t>η</w:t>
      </w:r>
      <w:r w:rsidRPr="0060037F">
        <w:rPr>
          <w:rFonts w:ascii="Century Gothic" w:hAnsi="Century Gothic"/>
          <w:color w:val="0000CC"/>
          <w:lang w:val="el-GR"/>
        </w:rPr>
        <w:t xml:space="preserve"> συνάντηση κοινοπραξίας που οργανώθηκε από το Πανεπιστήμιο του </w:t>
      </w:r>
      <w:proofErr w:type="spellStart"/>
      <w:r w:rsidRPr="0060037F">
        <w:rPr>
          <w:rFonts w:ascii="Century Gothic" w:hAnsi="Century Gothic"/>
          <w:color w:val="0000CC"/>
          <w:lang w:val="el-GR"/>
        </w:rPr>
        <w:t>Ανόι</w:t>
      </w:r>
      <w:proofErr w:type="spellEnd"/>
      <w:r w:rsidRPr="0060037F">
        <w:rPr>
          <w:rFonts w:ascii="Century Gothic" w:hAnsi="Century Gothic"/>
          <w:color w:val="0000CC"/>
          <w:lang w:val="el-GR"/>
        </w:rPr>
        <w:t xml:space="preserve"> στο Βιετνάμ το διάστημα 4 έως 6 Δεκεμβρίου 2019 . Στη συνάντηση συμμετείχαν όλοι οι πανεπιστημιακοί εταίροι από Ασία και Ευρώπη. Συζητήθηκαν θέματα λειτουργίας των νέων εργαστηρίων καθώς και πιλοτικής χρήσης των ψηφιακών υπηρεσιών του ερευνητικού σχεδίου σε διαδικασίες μάθησης. </w:t>
      </w:r>
    </w:p>
    <w:p w:rsidR="0060037F" w:rsidRPr="0060037F" w:rsidRDefault="0060037F" w:rsidP="0060037F">
      <w:pPr>
        <w:spacing w:line="360" w:lineRule="auto"/>
        <w:jc w:val="both"/>
        <w:rPr>
          <w:rFonts w:ascii="Century Gothic" w:hAnsi="Century Gothic"/>
          <w:color w:val="0000CC"/>
          <w:lang w:val="el-GR"/>
        </w:rPr>
      </w:pPr>
      <w:r w:rsidRPr="0060037F">
        <w:rPr>
          <w:rFonts w:ascii="Century Gothic" w:hAnsi="Century Gothic"/>
          <w:color w:val="0000CC"/>
          <w:lang w:val="el-GR"/>
        </w:rPr>
        <w:t xml:space="preserve">Επιστημονικά υπεύθυνος του ερευνητικού σχεδίου είναι ο </w:t>
      </w:r>
      <w:proofErr w:type="spellStart"/>
      <w:r w:rsidRPr="0060037F">
        <w:rPr>
          <w:rFonts w:ascii="Century Gothic" w:hAnsi="Century Gothic"/>
          <w:color w:val="0000CC"/>
          <w:lang w:val="el-GR"/>
        </w:rPr>
        <w:t>Ομ</w:t>
      </w:r>
      <w:proofErr w:type="spellEnd"/>
      <w:r w:rsidRPr="0060037F">
        <w:rPr>
          <w:rFonts w:ascii="Century Gothic" w:hAnsi="Century Gothic"/>
          <w:color w:val="0000CC"/>
          <w:lang w:val="el-GR"/>
        </w:rPr>
        <w:t xml:space="preserve">. </w:t>
      </w:r>
      <w:proofErr w:type="spellStart"/>
      <w:r w:rsidRPr="0060037F">
        <w:rPr>
          <w:rFonts w:ascii="Century Gothic" w:hAnsi="Century Gothic"/>
          <w:color w:val="0000CC"/>
          <w:lang w:val="el-GR"/>
        </w:rPr>
        <w:t>Καθ</w:t>
      </w:r>
      <w:proofErr w:type="spellEnd"/>
      <w:r w:rsidRPr="0060037F">
        <w:rPr>
          <w:rFonts w:ascii="Century Gothic" w:hAnsi="Century Gothic"/>
          <w:color w:val="0000CC"/>
          <w:lang w:val="el-GR"/>
        </w:rPr>
        <w:t xml:space="preserve">. του ΤΗΜΜΥ κ. Ηλίας </w:t>
      </w:r>
      <w:proofErr w:type="spellStart"/>
      <w:r w:rsidRPr="0060037F">
        <w:rPr>
          <w:rFonts w:ascii="Century Gothic" w:hAnsi="Century Gothic"/>
          <w:color w:val="0000CC"/>
          <w:lang w:val="el-GR"/>
        </w:rPr>
        <w:t>Χούστης</w:t>
      </w:r>
      <w:proofErr w:type="spellEnd"/>
      <w:r w:rsidRPr="0060037F">
        <w:rPr>
          <w:rFonts w:ascii="Century Gothic" w:hAnsi="Century Gothic"/>
          <w:color w:val="0000CC"/>
          <w:lang w:val="el-GR"/>
        </w:rPr>
        <w:t xml:space="preserve">. Οργανωτικά υπεύθυνη είναι το μέλος ΕΔΙΠ του ΤΗΜΜΥ κ. Χαρίκλεια Τσαλαπάτα. Το ερευνητικό έργο </w:t>
      </w:r>
      <w:r w:rsidRPr="0060037F">
        <w:rPr>
          <w:rFonts w:ascii="Century Gothic" w:hAnsi="Century Gothic"/>
          <w:color w:val="0000CC"/>
          <w:lang w:val="en-US"/>
        </w:rPr>
        <w:t>ALIEN</w:t>
      </w:r>
      <w:r w:rsidRPr="0060037F">
        <w:rPr>
          <w:rFonts w:ascii="Century Gothic" w:hAnsi="Century Gothic"/>
          <w:color w:val="0000CC"/>
          <w:lang w:val="el-GR"/>
        </w:rPr>
        <w:t xml:space="preserve"> χρηματοδοτείται από το πρόγραμμα </w:t>
      </w:r>
      <w:r w:rsidRPr="0060037F">
        <w:rPr>
          <w:rFonts w:ascii="Century Gothic" w:hAnsi="Century Gothic"/>
          <w:color w:val="0000CC"/>
          <w:lang w:val="en-US"/>
        </w:rPr>
        <w:t>ERASMUS</w:t>
      </w:r>
      <w:r w:rsidRPr="0060037F">
        <w:rPr>
          <w:rFonts w:ascii="Century Gothic" w:hAnsi="Century Gothic"/>
          <w:color w:val="0000CC"/>
          <w:lang w:val="el-GR"/>
        </w:rPr>
        <w:t>+ της Ευρωπαϊκής Επιτροπής και υλοποιείται από το 2017 μέχρι το 2020.</w:t>
      </w:r>
    </w:p>
    <w:p w:rsidR="00451A46" w:rsidRPr="0060037F" w:rsidRDefault="00451A46" w:rsidP="0060037F">
      <w:pPr>
        <w:spacing w:line="360" w:lineRule="auto"/>
        <w:jc w:val="both"/>
        <w:rPr>
          <w:rFonts w:ascii="Century Gothic" w:hAnsi="Century Gothic"/>
          <w:color w:val="0000CC"/>
          <w:lang w:val="el-GR"/>
        </w:rPr>
      </w:pPr>
    </w:p>
    <w:sectPr w:rsidR="00451A46" w:rsidRPr="006003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DF"/>
    <w:rsid w:val="000A03FF"/>
    <w:rsid w:val="002160E6"/>
    <w:rsid w:val="00451A46"/>
    <w:rsid w:val="005459A8"/>
    <w:rsid w:val="005E7F26"/>
    <w:rsid w:val="0060037F"/>
    <w:rsid w:val="006D33DF"/>
    <w:rsid w:val="0086145E"/>
    <w:rsid w:val="008643FA"/>
    <w:rsid w:val="008B5162"/>
    <w:rsid w:val="00945DDD"/>
    <w:rsid w:val="009568ED"/>
    <w:rsid w:val="00963961"/>
    <w:rsid w:val="00A436D7"/>
    <w:rsid w:val="00A6175E"/>
    <w:rsid w:val="00A6648B"/>
    <w:rsid w:val="00B9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B02"/>
  <w15:chartTrackingRefBased/>
  <w15:docId w15:val="{432E5A82-2C0C-443D-9F1B-16FB362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0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3073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Hariklia</dc:creator>
  <cp:keywords/>
  <dc:description/>
  <cp:lastModifiedBy>GATOU OURANIA</cp:lastModifiedBy>
  <cp:revision>4</cp:revision>
  <dcterms:created xsi:type="dcterms:W3CDTF">2019-12-09T13:01:00Z</dcterms:created>
  <dcterms:modified xsi:type="dcterms:W3CDTF">2019-12-10T07:59:00Z</dcterms:modified>
</cp:coreProperties>
</file>